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BD" w:rsidRPr="00B5758B" w:rsidRDefault="00F64D4D">
      <w:pPr>
        <w:jc w:val="both"/>
        <w:rPr>
          <w:sz w:val="22"/>
          <w:szCs w:val="22"/>
        </w:rPr>
      </w:pPr>
      <w:r w:rsidRPr="00B5758B">
        <w:rPr>
          <w:sz w:val="22"/>
          <w:szCs w:val="22"/>
        </w:rPr>
        <w:t xml:space="preserve">                                                                                                                                      </w:t>
      </w:r>
      <w:r w:rsidRPr="00B5758B">
        <w:rPr>
          <w:noProof/>
          <w:sz w:val="22"/>
          <w:szCs w:val="22"/>
        </w:rPr>
        <w:drawing>
          <wp:inline distT="0" distB="0" distL="0" distR="0">
            <wp:extent cx="6210300" cy="1101654"/>
            <wp:effectExtent l="0" t="0" r="0" b="0"/>
            <wp:docPr id="3"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9" cstate="print"/>
                    <a:srcRect/>
                    <a:stretch>
                      <a:fillRect/>
                    </a:stretch>
                  </pic:blipFill>
                  <pic:spPr>
                    <a:xfrm>
                      <a:off x="0" y="0"/>
                      <a:ext cx="6210300" cy="1101654"/>
                    </a:xfrm>
                    <a:prstGeom prst="rect">
                      <a:avLst/>
                    </a:prstGeom>
                    <a:ln/>
                  </pic:spPr>
                </pic:pic>
              </a:graphicData>
            </a:graphic>
          </wp:inline>
        </w:drawing>
      </w:r>
    </w:p>
    <w:p w:rsidR="001A5CBD" w:rsidRPr="00B5758B" w:rsidRDefault="00F64D4D">
      <w:pPr>
        <w:pBdr>
          <w:top w:val="nil"/>
          <w:left w:val="nil"/>
          <w:bottom w:val="nil"/>
          <w:right w:val="nil"/>
          <w:between w:val="nil"/>
        </w:pBdr>
        <w:jc w:val="both"/>
        <w:rPr>
          <w:rFonts w:eastAsia="English111 Adagio BT"/>
          <w:color w:val="000000"/>
          <w:sz w:val="22"/>
          <w:szCs w:val="22"/>
        </w:rPr>
      </w:pPr>
      <w:r w:rsidRPr="00B5758B">
        <w:rPr>
          <w:rFonts w:eastAsia="Corbel"/>
          <w:color w:val="000000"/>
          <w:sz w:val="22"/>
          <w:szCs w:val="22"/>
        </w:rPr>
        <w:t xml:space="preserve">                                                                                                                                </w:t>
      </w:r>
    </w:p>
    <w:p w:rsidR="001A5CBD" w:rsidRPr="00B5758B" w:rsidRDefault="001A5CBD">
      <w:pPr>
        <w:widowControl w:val="0"/>
        <w:tabs>
          <w:tab w:val="left" w:pos="1733"/>
        </w:tabs>
        <w:ind w:right="284"/>
        <w:jc w:val="center"/>
        <w:rPr>
          <w:rFonts w:eastAsia="Calibri"/>
          <w:b/>
          <w:sz w:val="22"/>
          <w:szCs w:val="22"/>
        </w:rPr>
      </w:pPr>
    </w:p>
    <w:p w:rsidR="001A5CBD" w:rsidRPr="00B5758B" w:rsidRDefault="009C5555" w:rsidP="009C5555">
      <w:pPr>
        <w:widowControl w:val="0"/>
        <w:tabs>
          <w:tab w:val="left" w:pos="1733"/>
        </w:tabs>
        <w:ind w:right="284"/>
        <w:jc w:val="center"/>
        <w:rPr>
          <w:rFonts w:eastAsia="Calibri"/>
          <w:b/>
          <w:sz w:val="22"/>
          <w:szCs w:val="22"/>
        </w:rPr>
      </w:pPr>
      <w:r w:rsidRPr="009C5555">
        <w:rPr>
          <w:rFonts w:eastAsia="Calibri"/>
          <w:b/>
          <w:noProof/>
          <w:sz w:val="22"/>
          <w:szCs w:val="22"/>
        </w:rPr>
        <w:drawing>
          <wp:inline distT="114300" distB="114300" distL="114300" distR="114300">
            <wp:extent cx="5731200" cy="171450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1714500"/>
                    </a:xfrm>
                    <a:prstGeom prst="rect">
                      <a:avLst/>
                    </a:prstGeom>
                    <a:ln/>
                  </pic:spPr>
                </pic:pic>
              </a:graphicData>
            </a:graphic>
          </wp:inline>
        </w:drawing>
      </w:r>
    </w:p>
    <w:p w:rsidR="001A5CBD" w:rsidRPr="00B5758B" w:rsidRDefault="001A5CBD">
      <w:pPr>
        <w:widowControl w:val="0"/>
        <w:tabs>
          <w:tab w:val="left" w:pos="1733"/>
        </w:tabs>
        <w:ind w:right="284"/>
        <w:jc w:val="center"/>
        <w:rPr>
          <w:rFonts w:eastAsia="Calibri"/>
          <w:b/>
          <w:i/>
          <w:sz w:val="22"/>
          <w:szCs w:val="22"/>
        </w:rPr>
      </w:pPr>
    </w:p>
    <w:p w:rsidR="00856DFD" w:rsidRPr="00B5758B" w:rsidRDefault="00856DFD">
      <w:pPr>
        <w:widowControl w:val="0"/>
        <w:tabs>
          <w:tab w:val="left" w:pos="1733"/>
        </w:tabs>
        <w:ind w:right="284"/>
        <w:jc w:val="center"/>
        <w:rPr>
          <w:rFonts w:eastAsia="Calibri"/>
          <w:b/>
          <w:i/>
          <w:sz w:val="22"/>
          <w:szCs w:val="22"/>
        </w:rPr>
      </w:pPr>
    </w:p>
    <w:p w:rsidR="00856DFD" w:rsidRPr="005E7E54" w:rsidRDefault="005E7E54" w:rsidP="005E7E54">
      <w:pPr>
        <w:widowControl w:val="0"/>
        <w:tabs>
          <w:tab w:val="left" w:pos="1733"/>
        </w:tabs>
        <w:ind w:right="284"/>
        <w:jc w:val="right"/>
        <w:rPr>
          <w:rFonts w:eastAsia="Calibri"/>
          <w:i/>
          <w:sz w:val="24"/>
          <w:szCs w:val="22"/>
        </w:rPr>
      </w:pPr>
      <w:r w:rsidRPr="005E7E54">
        <w:rPr>
          <w:rFonts w:eastAsia="Calibri"/>
          <w:i/>
          <w:sz w:val="24"/>
          <w:szCs w:val="22"/>
        </w:rPr>
        <w:t>All’Albo online</w:t>
      </w:r>
    </w:p>
    <w:p w:rsidR="005E7E54" w:rsidRPr="005E7E54" w:rsidRDefault="005E7E54" w:rsidP="005E7E54">
      <w:pPr>
        <w:widowControl w:val="0"/>
        <w:tabs>
          <w:tab w:val="left" w:pos="1733"/>
        </w:tabs>
        <w:ind w:right="284"/>
        <w:jc w:val="right"/>
        <w:rPr>
          <w:rFonts w:eastAsia="Calibri"/>
          <w:i/>
          <w:sz w:val="24"/>
          <w:szCs w:val="22"/>
        </w:rPr>
      </w:pPr>
      <w:r w:rsidRPr="005E7E54">
        <w:rPr>
          <w:rFonts w:eastAsia="Calibri"/>
          <w:i/>
          <w:sz w:val="24"/>
          <w:szCs w:val="22"/>
        </w:rPr>
        <w:t>Alla Sezione Amministrazione Trasparente</w:t>
      </w:r>
      <w:r w:rsidR="009F4C8A" w:rsidRPr="009F4C8A">
        <w:rPr>
          <w:rFonts w:eastAsia="Calibri"/>
          <w:i/>
          <w:sz w:val="24"/>
          <w:szCs w:val="22"/>
        </w:rPr>
        <w:t xml:space="preserve"> </w:t>
      </w:r>
      <w:r w:rsidR="009F4C8A" w:rsidRPr="005E7E54">
        <w:rPr>
          <w:rFonts w:eastAsia="Calibri"/>
          <w:i/>
          <w:sz w:val="24"/>
          <w:szCs w:val="22"/>
        </w:rPr>
        <w:t>del Sito</w:t>
      </w:r>
    </w:p>
    <w:p w:rsidR="005E7E54" w:rsidRPr="005E7E54" w:rsidRDefault="005E7E54" w:rsidP="005E7E54">
      <w:pPr>
        <w:widowControl w:val="0"/>
        <w:tabs>
          <w:tab w:val="left" w:pos="1733"/>
        </w:tabs>
        <w:ind w:right="284"/>
        <w:jc w:val="right"/>
        <w:rPr>
          <w:rFonts w:eastAsia="Calibri"/>
          <w:i/>
          <w:sz w:val="24"/>
          <w:szCs w:val="22"/>
        </w:rPr>
      </w:pPr>
      <w:r w:rsidRPr="005E7E54">
        <w:rPr>
          <w:rFonts w:eastAsia="Calibri"/>
          <w:i/>
          <w:sz w:val="24"/>
          <w:szCs w:val="22"/>
        </w:rPr>
        <w:t>Agli Atti</w:t>
      </w:r>
    </w:p>
    <w:p w:rsidR="005E7E54" w:rsidRDefault="005E7E54" w:rsidP="00723255">
      <w:pPr>
        <w:widowControl w:val="0"/>
        <w:tabs>
          <w:tab w:val="left" w:pos="1733"/>
        </w:tabs>
        <w:ind w:right="284"/>
        <w:jc w:val="center"/>
        <w:rPr>
          <w:rFonts w:eastAsia="Calibri"/>
          <w:b/>
          <w:i/>
          <w:sz w:val="22"/>
          <w:szCs w:val="22"/>
        </w:rPr>
      </w:pPr>
    </w:p>
    <w:p w:rsidR="00E33F25" w:rsidRDefault="005E7E54" w:rsidP="009F4C8A">
      <w:pPr>
        <w:widowControl w:val="0"/>
        <w:tabs>
          <w:tab w:val="left" w:pos="1733"/>
        </w:tabs>
        <w:spacing w:line="276" w:lineRule="auto"/>
        <w:ind w:right="284"/>
        <w:jc w:val="both"/>
        <w:rPr>
          <w:rFonts w:eastAsia="Calibri"/>
          <w:b/>
          <w:i/>
          <w:sz w:val="22"/>
          <w:szCs w:val="22"/>
        </w:rPr>
      </w:pPr>
      <w:r>
        <w:rPr>
          <w:rFonts w:eastAsia="Calibri"/>
          <w:b/>
          <w:i/>
          <w:sz w:val="22"/>
          <w:szCs w:val="22"/>
        </w:rPr>
        <w:t xml:space="preserve">OGGETTO: </w:t>
      </w:r>
      <w:r w:rsidR="00E33F25">
        <w:rPr>
          <w:rFonts w:eastAsia="Calibri"/>
          <w:b/>
          <w:i/>
          <w:sz w:val="24"/>
          <w:szCs w:val="24"/>
        </w:rPr>
        <w:t xml:space="preserve">DETERMINA </w:t>
      </w:r>
      <w:r w:rsidR="00466D5E">
        <w:rPr>
          <w:b/>
          <w:i/>
          <w:sz w:val="24"/>
          <w:szCs w:val="24"/>
        </w:rPr>
        <w:t>per l’ADESIONE DI STUDENTI AL</w:t>
      </w:r>
      <w:r w:rsidR="00832035" w:rsidRPr="00832035">
        <w:rPr>
          <w:b/>
          <w:i/>
          <w:sz w:val="24"/>
          <w:szCs w:val="24"/>
        </w:rPr>
        <w:t>LA REALIZZAZIONE</w:t>
      </w:r>
      <w:r w:rsidR="00832035">
        <w:rPr>
          <w:b/>
        </w:rPr>
        <w:t xml:space="preserve"> </w:t>
      </w:r>
      <w:r w:rsidR="004B6DE4">
        <w:rPr>
          <w:rFonts w:eastAsia="Calibri"/>
          <w:b/>
          <w:i/>
          <w:sz w:val="22"/>
          <w:szCs w:val="22"/>
        </w:rPr>
        <w:t xml:space="preserve">DI </w:t>
      </w:r>
      <w:r w:rsidR="00400BE9" w:rsidRPr="00AC7CE1">
        <w:rPr>
          <w:sz w:val="22"/>
          <w:szCs w:val="22"/>
        </w:rPr>
        <w:t xml:space="preserve"> </w:t>
      </w:r>
      <w:r w:rsidR="00400BE9" w:rsidRPr="00400BE9">
        <w:rPr>
          <w:b/>
          <w:i/>
          <w:sz w:val="22"/>
          <w:szCs w:val="22"/>
        </w:rPr>
        <w:t>PERCOR</w:t>
      </w:r>
      <w:r w:rsidR="00466D5E">
        <w:rPr>
          <w:b/>
          <w:i/>
          <w:sz w:val="22"/>
          <w:szCs w:val="22"/>
        </w:rPr>
        <w:t>SI FORMATIVI E LABORATORIALI CO-</w:t>
      </w:r>
      <w:r w:rsidR="00400BE9" w:rsidRPr="00400BE9">
        <w:rPr>
          <w:b/>
          <w:i/>
          <w:sz w:val="22"/>
          <w:szCs w:val="22"/>
        </w:rPr>
        <w:t>CURRICULARI</w:t>
      </w:r>
      <w:r w:rsidR="00B5758B" w:rsidRPr="009F4C8A">
        <w:rPr>
          <w:rFonts w:eastAsia="Calibri"/>
          <w:b/>
          <w:i/>
          <w:sz w:val="22"/>
          <w:szCs w:val="22"/>
        </w:rPr>
        <w:t xml:space="preserve"> a valere sul  PIANO  NAZIONALE DI RIPRESA E RESILIENZA – MISSIONE 4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Azioni  di prevenzione e contrasto alla dispersione scolastica (D.M. 170/2022)</w:t>
      </w:r>
      <w:r w:rsidR="00881D04">
        <w:rPr>
          <w:rFonts w:eastAsia="Calibri"/>
          <w:b/>
          <w:i/>
          <w:sz w:val="22"/>
          <w:szCs w:val="22"/>
        </w:rPr>
        <w:t xml:space="preserve">; </w:t>
      </w:r>
      <w:r w:rsidR="004B6DE4">
        <w:rPr>
          <w:rFonts w:eastAsia="Calibri"/>
          <w:b/>
          <w:i/>
          <w:sz w:val="22"/>
          <w:szCs w:val="22"/>
        </w:rPr>
        <w:t xml:space="preserve">Codice avviso: </w:t>
      </w:r>
      <w:r w:rsidR="00B5758B" w:rsidRPr="009F4C8A">
        <w:rPr>
          <w:rFonts w:eastAsia="Calibri"/>
          <w:b/>
          <w:i/>
          <w:sz w:val="22"/>
          <w:szCs w:val="22"/>
        </w:rPr>
        <w:t xml:space="preserve"> M4C1I1.4-2022-981</w:t>
      </w:r>
      <w:r w:rsidR="000644E9" w:rsidRPr="009F4C8A">
        <w:rPr>
          <w:rFonts w:eastAsia="Calibri"/>
          <w:b/>
          <w:i/>
          <w:sz w:val="22"/>
          <w:szCs w:val="22"/>
        </w:rPr>
        <w:t xml:space="preserve"> - </w:t>
      </w:r>
      <w:r w:rsidR="00B5758B" w:rsidRPr="009F4C8A">
        <w:rPr>
          <w:rFonts w:eastAsia="Calibri"/>
          <w:b/>
          <w:i/>
          <w:sz w:val="22"/>
          <w:szCs w:val="22"/>
        </w:rPr>
        <w:t xml:space="preserve">Titolo avviso/decreto: Azioni di prevenzione e contrasto alla dispersione scolastica (D.M. 170/2022) </w:t>
      </w:r>
      <w:r w:rsidR="000644E9" w:rsidRPr="009F4C8A">
        <w:rPr>
          <w:rFonts w:eastAsia="Calibri"/>
          <w:b/>
          <w:i/>
          <w:sz w:val="22"/>
          <w:szCs w:val="22"/>
        </w:rPr>
        <w:t xml:space="preserve"> - </w:t>
      </w:r>
      <w:r w:rsidR="00B5758B" w:rsidRPr="009F4C8A">
        <w:rPr>
          <w:rFonts w:eastAsia="Calibri"/>
          <w:b/>
          <w:i/>
          <w:sz w:val="22"/>
          <w:szCs w:val="22"/>
        </w:rPr>
        <w:t>CUP Progetto: F94D22003950006</w:t>
      </w:r>
      <w:r w:rsidR="000D6D0E" w:rsidRPr="009F4C8A">
        <w:rPr>
          <w:rFonts w:eastAsia="Calibri"/>
          <w:b/>
          <w:i/>
          <w:sz w:val="22"/>
          <w:szCs w:val="22"/>
        </w:rPr>
        <w:t xml:space="preserve"> </w:t>
      </w:r>
      <w:r w:rsidR="00E33F25">
        <w:rPr>
          <w:rFonts w:eastAsia="Calibri"/>
          <w:b/>
          <w:i/>
          <w:sz w:val="22"/>
          <w:szCs w:val="22"/>
        </w:rPr>
        <w:t>–</w:t>
      </w:r>
      <w:r w:rsidR="00B5758B" w:rsidRPr="009F4C8A">
        <w:rPr>
          <w:rFonts w:eastAsia="Calibri"/>
          <w:b/>
          <w:i/>
          <w:sz w:val="22"/>
          <w:szCs w:val="22"/>
        </w:rPr>
        <w:t xml:space="preserve">Codice progetto: M4C1I1.4-2022-981 P 11965 </w:t>
      </w:r>
      <w:r w:rsidR="000D6D0E" w:rsidRPr="009F4C8A">
        <w:rPr>
          <w:rFonts w:eastAsia="Calibri"/>
          <w:b/>
          <w:i/>
          <w:sz w:val="22"/>
          <w:szCs w:val="22"/>
        </w:rPr>
        <w:t xml:space="preserve"> </w:t>
      </w:r>
    </w:p>
    <w:p w:rsidR="00B5758B" w:rsidRPr="009F4C8A" w:rsidRDefault="000D6D0E" w:rsidP="009F4C8A">
      <w:pPr>
        <w:widowControl w:val="0"/>
        <w:tabs>
          <w:tab w:val="left" w:pos="1733"/>
        </w:tabs>
        <w:spacing w:line="276" w:lineRule="auto"/>
        <w:ind w:right="284"/>
        <w:jc w:val="both"/>
        <w:rPr>
          <w:rFonts w:eastAsia="Calibri"/>
          <w:b/>
          <w:i/>
          <w:sz w:val="22"/>
          <w:szCs w:val="22"/>
        </w:rPr>
      </w:pPr>
      <w:r w:rsidRPr="009F4C8A">
        <w:rPr>
          <w:rFonts w:eastAsia="Calibri"/>
          <w:b/>
          <w:i/>
          <w:sz w:val="22"/>
          <w:szCs w:val="22"/>
        </w:rPr>
        <w:t xml:space="preserve">- </w:t>
      </w:r>
      <w:r w:rsidR="00B5758B" w:rsidRPr="009F4C8A">
        <w:rPr>
          <w:rFonts w:eastAsia="Calibri"/>
          <w:b/>
          <w:i/>
          <w:sz w:val="22"/>
          <w:szCs w:val="22"/>
        </w:rPr>
        <w:t>Titolo:  Insieme costruiamo Futuro</w:t>
      </w:r>
      <w:r w:rsidR="000644E9" w:rsidRPr="009F4C8A">
        <w:rPr>
          <w:rFonts w:eastAsia="Calibri"/>
          <w:b/>
          <w:i/>
          <w:sz w:val="22"/>
          <w:szCs w:val="22"/>
        </w:rPr>
        <w:t xml:space="preserve"> - </w:t>
      </w:r>
      <w:r w:rsidR="00B5758B" w:rsidRPr="009F4C8A">
        <w:rPr>
          <w:rFonts w:eastAsia="Calibri"/>
          <w:b/>
          <w:i/>
          <w:sz w:val="22"/>
          <w:szCs w:val="22"/>
        </w:rPr>
        <w:t>Importo assegnato: € 170.312,60</w:t>
      </w:r>
    </w:p>
    <w:p w:rsidR="001A5CBD" w:rsidRPr="00B5758B" w:rsidRDefault="001A5CBD" w:rsidP="00AE161C">
      <w:pPr>
        <w:widowControl w:val="0"/>
        <w:tabs>
          <w:tab w:val="left" w:pos="1733"/>
        </w:tabs>
        <w:spacing w:line="276" w:lineRule="auto"/>
        <w:ind w:right="284"/>
        <w:rPr>
          <w:rFonts w:eastAsia="Calibri"/>
          <w:i/>
          <w:sz w:val="22"/>
          <w:szCs w:val="22"/>
        </w:rPr>
      </w:pPr>
    </w:p>
    <w:p w:rsidR="001A5CBD" w:rsidRPr="00B5758B" w:rsidRDefault="001A5CBD" w:rsidP="00AE161C">
      <w:pPr>
        <w:keepNext/>
        <w:keepLines/>
        <w:widowControl w:val="0"/>
        <w:spacing w:line="276" w:lineRule="auto"/>
        <w:jc w:val="center"/>
        <w:rPr>
          <w:rFonts w:eastAsia="Calibri"/>
          <w:b/>
          <w:sz w:val="22"/>
          <w:szCs w:val="22"/>
        </w:rPr>
      </w:pPr>
    </w:p>
    <w:p w:rsidR="001A5CBD" w:rsidRDefault="00F64D4D" w:rsidP="00AE161C">
      <w:pPr>
        <w:keepNext/>
        <w:keepLines/>
        <w:widowControl w:val="0"/>
        <w:spacing w:line="276" w:lineRule="auto"/>
        <w:jc w:val="center"/>
        <w:rPr>
          <w:rFonts w:eastAsia="Calibri"/>
          <w:b/>
          <w:sz w:val="22"/>
          <w:szCs w:val="22"/>
        </w:rPr>
      </w:pPr>
      <w:r w:rsidRPr="00B5758B">
        <w:rPr>
          <w:rFonts w:eastAsia="Calibri"/>
          <w:b/>
          <w:sz w:val="22"/>
          <w:szCs w:val="22"/>
        </w:rPr>
        <w:t>IL DIRIGENTE SCOLASTICO</w:t>
      </w:r>
    </w:p>
    <w:p w:rsidR="00CC632C" w:rsidRDefault="00CC632C" w:rsidP="00AE161C">
      <w:pPr>
        <w:keepNext/>
        <w:keepLines/>
        <w:widowControl w:val="0"/>
        <w:spacing w:line="360" w:lineRule="auto"/>
        <w:jc w:val="center"/>
        <w:rPr>
          <w:rFonts w:eastAsia="Calibri"/>
          <w:b/>
          <w:sz w:val="22"/>
          <w:szCs w:val="22"/>
        </w:rPr>
      </w:pPr>
    </w:p>
    <w:p w:rsidR="00CC632C" w:rsidRPr="00CC632C" w:rsidRDefault="00CC632C" w:rsidP="00AE161C">
      <w:pPr>
        <w:spacing w:line="360" w:lineRule="auto"/>
        <w:jc w:val="both"/>
        <w:rPr>
          <w:sz w:val="22"/>
          <w:szCs w:val="22"/>
        </w:rPr>
      </w:pPr>
      <w:r w:rsidRPr="00CC632C">
        <w:rPr>
          <w:b/>
          <w:bCs/>
          <w:sz w:val="22"/>
          <w:szCs w:val="22"/>
        </w:rPr>
        <w:t>VISTA</w:t>
      </w:r>
      <w:r w:rsidRPr="00CC632C">
        <w:rPr>
          <w:sz w:val="22"/>
          <w:szCs w:val="22"/>
        </w:rPr>
        <w:t xml:space="preserve"> la legge 7 agosto 1990, n. 241 “Nuove norme in materia di procedimento amministrativo e di diritto di accesso ai documenti amministrativi” e ss.mm.ii.;</w:t>
      </w:r>
    </w:p>
    <w:p w:rsidR="00CC632C" w:rsidRPr="00CC632C" w:rsidRDefault="00CC632C" w:rsidP="00AE161C">
      <w:pPr>
        <w:spacing w:line="360" w:lineRule="auto"/>
        <w:jc w:val="both"/>
        <w:rPr>
          <w:sz w:val="22"/>
          <w:szCs w:val="22"/>
        </w:rPr>
      </w:pPr>
      <w:r w:rsidRPr="00CC632C">
        <w:rPr>
          <w:b/>
          <w:bCs/>
          <w:sz w:val="22"/>
          <w:szCs w:val="22"/>
        </w:rPr>
        <w:t>VISTO</w:t>
      </w:r>
      <w:r w:rsidRPr="00CC632C">
        <w:rPr>
          <w:sz w:val="22"/>
          <w:szCs w:val="22"/>
        </w:rPr>
        <w:t xml:space="preserve"> l’art. 10 del T.U. n. 297 del 16/04/1994; </w:t>
      </w:r>
    </w:p>
    <w:p w:rsidR="00CC632C" w:rsidRPr="00CC632C" w:rsidRDefault="00CC632C" w:rsidP="00AE161C">
      <w:pPr>
        <w:spacing w:line="360" w:lineRule="auto"/>
        <w:jc w:val="both"/>
        <w:rPr>
          <w:sz w:val="22"/>
          <w:szCs w:val="22"/>
        </w:rPr>
      </w:pPr>
      <w:r w:rsidRPr="00CC632C">
        <w:rPr>
          <w:b/>
          <w:bCs/>
          <w:sz w:val="22"/>
          <w:szCs w:val="22"/>
        </w:rPr>
        <w:t>VISTO</w:t>
      </w:r>
      <w:r w:rsidRPr="00CC632C">
        <w:rPr>
          <w:sz w:val="22"/>
          <w:szCs w:val="22"/>
        </w:rPr>
        <w:t xml:space="preserve"> il Decreto del Presidente della Repubblica 8 marzo 1999, n. 275, concernente il Regolamento recante norme in materia di autonomia delle Istituzioni Scolastiche, ai sensi della legge 15 marzo 1997, n. 59;</w:t>
      </w:r>
    </w:p>
    <w:p w:rsidR="00CC632C" w:rsidRPr="00CC632C" w:rsidRDefault="00CC632C" w:rsidP="00AE161C">
      <w:pPr>
        <w:spacing w:line="360" w:lineRule="auto"/>
        <w:jc w:val="both"/>
        <w:rPr>
          <w:sz w:val="22"/>
          <w:szCs w:val="22"/>
        </w:rPr>
      </w:pPr>
      <w:r w:rsidRPr="00CC632C">
        <w:rPr>
          <w:b/>
          <w:bCs/>
          <w:sz w:val="22"/>
          <w:szCs w:val="22"/>
        </w:rPr>
        <w:t xml:space="preserve">VISTA </w:t>
      </w:r>
      <w:r w:rsidRPr="00CC632C">
        <w:rPr>
          <w:sz w:val="22"/>
          <w:szCs w:val="22"/>
        </w:rPr>
        <w:t>la legge 15 marzo 1997 n. 59, concernente “Delega al Governo per il conferimento di funzioni e compiti alle regioni ed enti locali, per la riforma della Pubblica Amministrazione e per la semplificazione amministrativa";</w:t>
      </w:r>
    </w:p>
    <w:p w:rsidR="00CC632C" w:rsidRPr="00CC632C" w:rsidRDefault="00CC632C" w:rsidP="00AE161C">
      <w:pPr>
        <w:spacing w:line="360" w:lineRule="auto"/>
        <w:jc w:val="both"/>
        <w:rPr>
          <w:sz w:val="22"/>
          <w:szCs w:val="22"/>
        </w:rPr>
      </w:pPr>
      <w:r w:rsidRPr="00CC632C">
        <w:rPr>
          <w:b/>
          <w:bCs/>
          <w:sz w:val="22"/>
          <w:szCs w:val="22"/>
        </w:rPr>
        <w:t>VISTO</w:t>
      </w:r>
      <w:r w:rsidRPr="00CC632C">
        <w:rPr>
          <w:sz w:val="22"/>
          <w:szCs w:val="22"/>
        </w:rPr>
        <w:t xml:space="preserve"> il Decreto Legislativo 30 marzo 2001, n. 165 recante “Norme generali sull’ordinamento del</w:t>
      </w:r>
    </w:p>
    <w:p w:rsidR="00CC632C" w:rsidRPr="00CC632C" w:rsidRDefault="00CC632C" w:rsidP="00AE161C">
      <w:pPr>
        <w:spacing w:line="360" w:lineRule="auto"/>
        <w:jc w:val="both"/>
        <w:rPr>
          <w:sz w:val="22"/>
          <w:szCs w:val="22"/>
        </w:rPr>
      </w:pPr>
      <w:r w:rsidRPr="00CC632C">
        <w:rPr>
          <w:sz w:val="22"/>
          <w:szCs w:val="22"/>
        </w:rPr>
        <w:lastRenderedPageBreak/>
        <w:t>lavoro alle dipendenze delle Amministrazioni Pubbliche” e ss.mm.ii.;</w:t>
      </w:r>
    </w:p>
    <w:p w:rsidR="00CC632C" w:rsidRPr="00CC632C" w:rsidRDefault="00CC632C" w:rsidP="00AE161C">
      <w:pPr>
        <w:spacing w:line="360" w:lineRule="auto"/>
        <w:jc w:val="both"/>
        <w:rPr>
          <w:sz w:val="22"/>
          <w:szCs w:val="22"/>
        </w:rPr>
      </w:pPr>
      <w:r w:rsidRPr="00CC632C">
        <w:rPr>
          <w:b/>
          <w:bCs/>
          <w:sz w:val="22"/>
          <w:szCs w:val="22"/>
        </w:rPr>
        <w:t>VISTA</w:t>
      </w:r>
      <w:r w:rsidRPr="00CC632C">
        <w:rPr>
          <w:sz w:val="22"/>
          <w:szCs w:val="22"/>
        </w:rPr>
        <w:t xml:space="preserve"> la Circolare 05/12/03, n. 41 del Ministero del Lavoro e delle politiche sociali; </w:t>
      </w:r>
    </w:p>
    <w:p w:rsidR="00CC632C" w:rsidRPr="00CC632C" w:rsidRDefault="00CC632C" w:rsidP="00AE161C">
      <w:pPr>
        <w:spacing w:line="360" w:lineRule="auto"/>
        <w:jc w:val="both"/>
        <w:rPr>
          <w:sz w:val="22"/>
          <w:szCs w:val="22"/>
        </w:rPr>
      </w:pPr>
      <w:r w:rsidRPr="00CC632C">
        <w:rPr>
          <w:b/>
          <w:bCs/>
          <w:sz w:val="22"/>
          <w:szCs w:val="22"/>
        </w:rPr>
        <w:t>VISTO</w:t>
      </w:r>
      <w:r w:rsidRPr="00CC632C">
        <w:rPr>
          <w:sz w:val="22"/>
          <w:szCs w:val="22"/>
        </w:rPr>
        <w:t xml:space="preserve"> l’art. 46 della Legge 133/2008;</w:t>
      </w:r>
    </w:p>
    <w:p w:rsidR="00CC632C" w:rsidRPr="00CC632C" w:rsidRDefault="00CC632C" w:rsidP="00AE161C">
      <w:pPr>
        <w:spacing w:line="360" w:lineRule="auto"/>
        <w:jc w:val="both"/>
        <w:rPr>
          <w:sz w:val="22"/>
          <w:szCs w:val="22"/>
        </w:rPr>
      </w:pPr>
      <w:r w:rsidRPr="00CC632C">
        <w:rPr>
          <w:b/>
          <w:sz w:val="22"/>
          <w:szCs w:val="22"/>
        </w:rPr>
        <w:t>VISTO</w:t>
      </w:r>
      <w:r w:rsidRPr="00CC632C">
        <w:rPr>
          <w:sz w:val="22"/>
          <w:szCs w:val="22"/>
        </w:rPr>
        <w:t xml:space="preserve"> l’art. 32 del D.L. n. 223 del 4 luglio 2006 che consente alle Amministrazioni Pubbliche, per le esigenze cui non possono far fronte con personale in servizio, di conferire incarichi individuali, con contratti di lavoro autonomo, di natura occasionale o coordinata e continuativa, a esperti di provata competenza, purché tale prestazione abbia natura temporanea e sia altamente qualificata;</w:t>
      </w:r>
    </w:p>
    <w:p w:rsidR="00CC632C" w:rsidRPr="00CC632C" w:rsidRDefault="00CC632C" w:rsidP="00AE161C">
      <w:pPr>
        <w:spacing w:line="360" w:lineRule="auto"/>
        <w:jc w:val="both"/>
        <w:rPr>
          <w:sz w:val="22"/>
          <w:szCs w:val="22"/>
        </w:rPr>
      </w:pPr>
      <w:r w:rsidRPr="00CC632C">
        <w:rPr>
          <w:b/>
          <w:sz w:val="22"/>
          <w:szCs w:val="22"/>
        </w:rPr>
        <w:t>VISTA</w:t>
      </w:r>
      <w:r w:rsidRPr="00CC632C">
        <w:rPr>
          <w:sz w:val="22"/>
          <w:szCs w:val="22"/>
        </w:rPr>
        <w:t xml:space="preserve"> la circolare n. 4 del 15 luglio 2004 del Dipartimento della Funzione Pubblica che stabilisce come l’affidamento dell’incarico a terzi possa avvenire solo nell’ipotesi in cui l’amministrazione non sia in grado di far fronte ad una particolare e temporanea esigenza con le risorse professionali presenti in quel momento al suo interno;</w:t>
      </w:r>
    </w:p>
    <w:p w:rsidR="00CC632C" w:rsidRPr="00CC632C" w:rsidRDefault="00CC632C" w:rsidP="00AE161C">
      <w:pPr>
        <w:spacing w:line="360" w:lineRule="auto"/>
        <w:jc w:val="both"/>
        <w:rPr>
          <w:b/>
          <w:sz w:val="22"/>
          <w:szCs w:val="22"/>
        </w:rPr>
      </w:pPr>
      <w:r w:rsidRPr="00CC632C">
        <w:rPr>
          <w:b/>
          <w:bCs/>
          <w:sz w:val="22"/>
          <w:szCs w:val="22"/>
        </w:rPr>
        <w:t>VISTO</w:t>
      </w:r>
      <w:r w:rsidRPr="00CC632C">
        <w:rPr>
          <w:sz w:val="22"/>
          <w:szCs w:val="22"/>
        </w:rPr>
        <w:t xml:space="preserve"> il D.L. n.112/2008</w:t>
      </w:r>
      <w:r w:rsidR="009F4C8A">
        <w:rPr>
          <w:sz w:val="22"/>
          <w:szCs w:val="22"/>
        </w:rPr>
        <w:t>;</w:t>
      </w:r>
    </w:p>
    <w:p w:rsidR="00CC632C" w:rsidRPr="00CC632C" w:rsidRDefault="00CC632C" w:rsidP="00AE161C">
      <w:pPr>
        <w:spacing w:line="360" w:lineRule="auto"/>
        <w:jc w:val="both"/>
        <w:rPr>
          <w:sz w:val="22"/>
          <w:szCs w:val="22"/>
        </w:rPr>
      </w:pPr>
      <w:r w:rsidRPr="00CC632C">
        <w:rPr>
          <w:b/>
          <w:sz w:val="22"/>
          <w:szCs w:val="22"/>
        </w:rPr>
        <w:t>VISTA</w:t>
      </w:r>
      <w:r w:rsidRPr="00CC632C">
        <w:rPr>
          <w:sz w:val="22"/>
          <w:szCs w:val="22"/>
        </w:rPr>
        <w:t xml:space="preserve"> la circolare 2/2008 della Presidenza del Consiglio dei Ministri, dipartimento della Funzione Pubblica avente ad oggetto: legge 24 dicembre 2007, n. 244, disposizioni in tema di collaborazioni esterne;</w:t>
      </w:r>
    </w:p>
    <w:p w:rsidR="00CC632C" w:rsidRPr="00CC632C" w:rsidRDefault="00CC632C" w:rsidP="00AE161C">
      <w:pPr>
        <w:spacing w:line="360" w:lineRule="auto"/>
        <w:jc w:val="both"/>
        <w:rPr>
          <w:sz w:val="22"/>
          <w:szCs w:val="22"/>
        </w:rPr>
      </w:pPr>
      <w:r w:rsidRPr="00CC632C">
        <w:rPr>
          <w:b/>
          <w:bCs/>
          <w:sz w:val="22"/>
          <w:szCs w:val="22"/>
        </w:rPr>
        <w:t>VISTO</w:t>
      </w:r>
      <w:r w:rsidRPr="00CC632C">
        <w:rPr>
          <w:sz w:val="22"/>
          <w:szCs w:val="22"/>
        </w:rPr>
        <w:t xml:space="preserve"> il D.L. n. 121 del 10/09/2021, articolo 10, comma 4, opzioni di costo semplificate (OCS); </w:t>
      </w:r>
    </w:p>
    <w:p w:rsidR="00CC632C" w:rsidRPr="00CC632C" w:rsidRDefault="00CC632C" w:rsidP="00AE161C">
      <w:pPr>
        <w:spacing w:line="360" w:lineRule="auto"/>
        <w:jc w:val="both"/>
        <w:rPr>
          <w:sz w:val="22"/>
          <w:szCs w:val="22"/>
        </w:rPr>
      </w:pPr>
      <w:r w:rsidRPr="00CC632C">
        <w:rPr>
          <w:b/>
          <w:bCs/>
          <w:sz w:val="22"/>
          <w:szCs w:val="22"/>
        </w:rPr>
        <w:t>VISTO</w:t>
      </w:r>
      <w:r w:rsidRPr="00CC632C">
        <w:rPr>
          <w:sz w:val="22"/>
          <w:szCs w:val="22"/>
        </w:rPr>
        <w:t xml:space="preserve"> il Decreto ministeriale n. 361 del 29/12/2021. Definizione delle modalità di attivazione di una piattaforma online per le attività di mentoring e formazione.</w:t>
      </w:r>
    </w:p>
    <w:p w:rsidR="00CC632C" w:rsidRPr="00CC632C" w:rsidRDefault="00CC632C" w:rsidP="00AE161C">
      <w:pPr>
        <w:spacing w:line="360" w:lineRule="auto"/>
        <w:jc w:val="both"/>
        <w:rPr>
          <w:sz w:val="22"/>
          <w:szCs w:val="22"/>
        </w:rPr>
      </w:pPr>
      <w:r w:rsidRPr="00CC632C">
        <w:rPr>
          <w:b/>
          <w:bCs/>
          <w:sz w:val="22"/>
          <w:szCs w:val="22"/>
        </w:rPr>
        <w:t>VISTO</w:t>
      </w:r>
      <w:r w:rsidRPr="00CC632C">
        <w:rPr>
          <w:sz w:val="22"/>
          <w:szCs w:val="22"/>
        </w:rPr>
        <w:t xml:space="preserve"> il Decreto del Ministro dell’istruzione, 14 giugno 2022, n. 161: adotta lo strumento di programmazione di tale investimento, previsto anche quale milestone europea del PNRR, il “Piano Scuola 4.0”;</w:t>
      </w:r>
    </w:p>
    <w:p w:rsidR="00CC632C" w:rsidRPr="00FF1F0B" w:rsidRDefault="00CC632C" w:rsidP="00AE161C">
      <w:pPr>
        <w:spacing w:line="360" w:lineRule="auto"/>
        <w:jc w:val="both"/>
        <w:rPr>
          <w:sz w:val="22"/>
          <w:szCs w:val="22"/>
        </w:rPr>
      </w:pPr>
      <w:r w:rsidRPr="00CC632C">
        <w:rPr>
          <w:b/>
          <w:bCs/>
          <w:sz w:val="22"/>
          <w:szCs w:val="22"/>
        </w:rPr>
        <w:t>VISTO</w:t>
      </w:r>
      <w:r w:rsidRPr="00CC632C">
        <w:rPr>
          <w:sz w:val="22"/>
          <w:szCs w:val="22"/>
        </w:rPr>
        <w:t xml:space="preserve"> il Decreto Interministeriale 28 agosto 2018, n. 129. Regolamento recante istruzioni</w:t>
      </w:r>
      <w:r w:rsidRPr="00FF1F0B">
        <w:rPr>
          <w:sz w:val="22"/>
          <w:szCs w:val="22"/>
        </w:rPr>
        <w:t xml:space="preserve"> generali sulla gestione amministrativo-contabile delle istituzioni scolastiche, ai sensi dell’articolo 1, comma 143, della legge 13 luglio 2015, n. 107;</w:t>
      </w:r>
    </w:p>
    <w:p w:rsidR="00CC632C" w:rsidRPr="00FF1F0B" w:rsidRDefault="00CC632C" w:rsidP="00AE161C">
      <w:pPr>
        <w:spacing w:line="360" w:lineRule="auto"/>
        <w:jc w:val="both"/>
        <w:rPr>
          <w:sz w:val="22"/>
          <w:szCs w:val="22"/>
        </w:rPr>
      </w:pPr>
      <w:r w:rsidRPr="00FF1F0B">
        <w:rPr>
          <w:b/>
          <w:sz w:val="22"/>
          <w:szCs w:val="22"/>
        </w:rPr>
        <w:t xml:space="preserve">VISTO </w:t>
      </w:r>
      <w:r w:rsidRPr="00FF1F0B">
        <w:rPr>
          <w:sz w:val="22"/>
          <w:szCs w:val="22"/>
        </w:rPr>
        <w:t>il Decreto legislativo 31 marzo 2023, n. 36, Nuovo Codice degli Appalti e allegati, in particolare l'art. 17;</w:t>
      </w:r>
    </w:p>
    <w:p w:rsidR="00CC632C" w:rsidRPr="00FF1F0B" w:rsidRDefault="00CC632C" w:rsidP="00AE161C">
      <w:pPr>
        <w:spacing w:line="360" w:lineRule="auto"/>
        <w:jc w:val="both"/>
        <w:rPr>
          <w:sz w:val="22"/>
          <w:szCs w:val="22"/>
        </w:rPr>
      </w:pPr>
      <w:r w:rsidRPr="00FF1F0B">
        <w:rPr>
          <w:b/>
          <w:bCs/>
          <w:sz w:val="22"/>
          <w:szCs w:val="22"/>
        </w:rPr>
        <w:t>VISTA</w:t>
      </w:r>
      <w:r w:rsidRPr="00FF1F0B">
        <w:rPr>
          <w:sz w:val="22"/>
          <w:szCs w:val="22"/>
        </w:rPr>
        <w:t xml:space="preserve"> la nota MIUR AOODGEFID/34815 del 03.08.2017, e la successiva nota MIUR di Errata corrige prot.35926 del 21/09/2017, con la quale sono stati chiariti gli adempimenti legati alla selezione di personale “esperto” e dei relativi aspetti di natura previdenziale, assistenziale e fiscale;</w:t>
      </w:r>
    </w:p>
    <w:p w:rsidR="00CC632C" w:rsidRPr="00FF1F0B" w:rsidRDefault="00CC632C" w:rsidP="00AE161C">
      <w:pPr>
        <w:spacing w:line="360" w:lineRule="auto"/>
        <w:jc w:val="both"/>
        <w:rPr>
          <w:sz w:val="22"/>
          <w:szCs w:val="22"/>
        </w:rPr>
      </w:pPr>
      <w:r w:rsidRPr="00FF1F0B">
        <w:rPr>
          <w:b/>
          <w:bCs/>
          <w:sz w:val="22"/>
          <w:szCs w:val="22"/>
        </w:rPr>
        <w:t>VISTA</w:t>
      </w:r>
      <w:r w:rsidRPr="00FF1F0B">
        <w:rPr>
          <w:sz w:val="22"/>
          <w:szCs w:val="22"/>
        </w:rPr>
        <w:t xml:space="preserve"> la nota MIUR AOODGEFID 31732 del 25/07/2017, contenente l’Aggiornamento delle linee guida dell’Autorità di Gestione per l’affidamento dei contratti pubblici di servizi e forniture di importo inferiore alla soglia comunitaria diramate con nota del 13 gennaio 2016, n. 1588; </w:t>
      </w:r>
    </w:p>
    <w:p w:rsidR="00CC632C" w:rsidRPr="00FF1F0B" w:rsidRDefault="00CC632C" w:rsidP="00AE161C">
      <w:pPr>
        <w:spacing w:line="360" w:lineRule="auto"/>
        <w:jc w:val="both"/>
        <w:rPr>
          <w:sz w:val="22"/>
          <w:szCs w:val="22"/>
        </w:rPr>
      </w:pPr>
      <w:r w:rsidRPr="00FF1F0B">
        <w:rPr>
          <w:b/>
          <w:bCs/>
          <w:sz w:val="22"/>
          <w:szCs w:val="22"/>
        </w:rPr>
        <w:t>VISTA</w:t>
      </w:r>
      <w:r w:rsidRPr="00FF1F0B">
        <w:rPr>
          <w:sz w:val="22"/>
          <w:szCs w:val="22"/>
        </w:rPr>
        <w:t xml:space="preserve"> la L. n. 29 luglio 2021, n. 108, entrata in vigore 31 luglio 2021, che ha convertito in legge con modificazioni il decreto legge 31 maggio 2021, n. 77, detto “Decreto Semplificazioni bis”, riguardante disposizioni in materia di governance per il PNRR e disposizioni in tema accelerazione</w:t>
      </w:r>
    </w:p>
    <w:p w:rsidR="00CC632C" w:rsidRPr="00FF1F0B" w:rsidRDefault="00CC632C" w:rsidP="00AE161C">
      <w:pPr>
        <w:spacing w:line="360" w:lineRule="auto"/>
        <w:jc w:val="both"/>
        <w:rPr>
          <w:sz w:val="22"/>
          <w:szCs w:val="22"/>
        </w:rPr>
      </w:pPr>
      <w:r w:rsidRPr="00FF1F0B">
        <w:rPr>
          <w:sz w:val="22"/>
          <w:szCs w:val="22"/>
        </w:rPr>
        <w:t>e snellimento delle procedure e di rafforzamento della capacità amministrativa, anche relativamente</w:t>
      </w:r>
    </w:p>
    <w:p w:rsidR="00CC632C" w:rsidRPr="00FF1F0B" w:rsidRDefault="00CC632C" w:rsidP="00AE161C">
      <w:pPr>
        <w:spacing w:line="360" w:lineRule="auto"/>
        <w:jc w:val="both"/>
        <w:rPr>
          <w:sz w:val="22"/>
          <w:szCs w:val="22"/>
        </w:rPr>
      </w:pPr>
      <w:r w:rsidRPr="00FF1F0B">
        <w:rPr>
          <w:sz w:val="22"/>
          <w:szCs w:val="22"/>
        </w:rPr>
        <w:t>agli appalti pubblici;</w:t>
      </w:r>
    </w:p>
    <w:p w:rsidR="00CC632C" w:rsidRPr="00FF1F0B" w:rsidRDefault="00CC632C" w:rsidP="00AE161C">
      <w:pPr>
        <w:spacing w:line="360" w:lineRule="auto"/>
        <w:jc w:val="both"/>
        <w:rPr>
          <w:sz w:val="22"/>
          <w:szCs w:val="22"/>
        </w:rPr>
      </w:pPr>
      <w:r w:rsidRPr="00FF1F0B">
        <w:rPr>
          <w:b/>
          <w:bCs/>
          <w:sz w:val="22"/>
          <w:szCs w:val="22"/>
        </w:rPr>
        <w:lastRenderedPageBreak/>
        <w:t>VISTO</w:t>
      </w:r>
      <w:r w:rsidRPr="00FF1F0B">
        <w:rPr>
          <w:sz w:val="22"/>
          <w:szCs w:val="22"/>
        </w:rPr>
        <w:t xml:space="preserve"> il Regolamento Commissione europea 24/11/2015 n. 2015/2170 - Regolamento delegato chemodifica la direttiva 2014/24/UE del Parlamento europeo e del Consiglio riguardo alle soglieapplicabili per le procedure di aggiudicazione degli appalti;</w:t>
      </w:r>
    </w:p>
    <w:p w:rsidR="00CC632C" w:rsidRPr="00FF1F0B" w:rsidRDefault="00CC632C" w:rsidP="00AE161C">
      <w:pPr>
        <w:spacing w:line="360" w:lineRule="auto"/>
        <w:jc w:val="both"/>
        <w:rPr>
          <w:sz w:val="22"/>
          <w:szCs w:val="22"/>
        </w:rPr>
      </w:pPr>
      <w:r w:rsidRPr="00FF1F0B">
        <w:rPr>
          <w:b/>
          <w:bCs/>
          <w:sz w:val="22"/>
          <w:szCs w:val="22"/>
        </w:rPr>
        <w:t>CONSIDERATO</w:t>
      </w:r>
      <w:r w:rsidRPr="00FF1F0B">
        <w:rPr>
          <w:sz w:val="22"/>
          <w:szCs w:val="22"/>
        </w:rPr>
        <w:t xml:space="preserve"> il Piano nazionale di ripresa e resilienza (PNRR) –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w:t>
      </w:r>
    </w:p>
    <w:p w:rsidR="00CC632C" w:rsidRPr="00FF1F0B" w:rsidRDefault="00CC632C" w:rsidP="00AE161C">
      <w:pPr>
        <w:spacing w:line="360" w:lineRule="auto"/>
        <w:jc w:val="both"/>
        <w:rPr>
          <w:sz w:val="22"/>
          <w:szCs w:val="22"/>
        </w:rPr>
      </w:pPr>
      <w:r w:rsidRPr="00FF1F0B">
        <w:rPr>
          <w:b/>
          <w:bCs/>
          <w:sz w:val="22"/>
          <w:szCs w:val="22"/>
        </w:rPr>
        <w:t>VISTO</w:t>
      </w:r>
      <w:r w:rsidRPr="00FF1F0B">
        <w:rPr>
          <w:sz w:val="22"/>
          <w:szCs w:val="22"/>
        </w:rPr>
        <w:t xml:space="preserve"> il D.M. n. 170 del 24/06/2022, riguardante la ripartizione delle risorse per attuazione Piano contro dispersione scolastica e per il superamento dei divari territoriali;</w:t>
      </w:r>
    </w:p>
    <w:p w:rsidR="00CC632C" w:rsidRPr="00FF1F0B" w:rsidRDefault="00CC632C" w:rsidP="00AE161C">
      <w:pPr>
        <w:spacing w:line="360" w:lineRule="auto"/>
        <w:jc w:val="both"/>
        <w:rPr>
          <w:sz w:val="22"/>
          <w:szCs w:val="22"/>
        </w:rPr>
      </w:pPr>
      <w:r w:rsidRPr="00FF1F0B">
        <w:rPr>
          <w:b/>
          <w:bCs/>
          <w:sz w:val="22"/>
          <w:szCs w:val="22"/>
        </w:rPr>
        <w:t>VISTA</w:t>
      </w:r>
      <w:r w:rsidRPr="00FF1F0B">
        <w:rPr>
          <w:sz w:val="22"/>
          <w:szCs w:val="22"/>
        </w:rPr>
        <w:t xml:space="preserve"> la Nota prot. 13 luglio 2022, n. 60586: “Orientamenti per l’attuazione degli interventi nelle scuole” in relazione all’attuazione delle misure di cui al decreto ministeriale n. 170 del 2022;</w:t>
      </w:r>
    </w:p>
    <w:p w:rsidR="00CC632C" w:rsidRPr="00FF1F0B" w:rsidRDefault="00CC632C" w:rsidP="00AE161C">
      <w:pPr>
        <w:spacing w:line="360" w:lineRule="auto"/>
        <w:jc w:val="both"/>
        <w:rPr>
          <w:sz w:val="22"/>
          <w:szCs w:val="22"/>
        </w:rPr>
      </w:pPr>
      <w:r w:rsidRPr="00FF1F0B">
        <w:rPr>
          <w:b/>
          <w:bCs/>
          <w:sz w:val="22"/>
          <w:szCs w:val="22"/>
        </w:rPr>
        <w:t>VISTO</w:t>
      </w:r>
      <w:r w:rsidRPr="00FF1F0B">
        <w:rPr>
          <w:sz w:val="22"/>
          <w:szCs w:val="22"/>
        </w:rPr>
        <w:t xml:space="preserve"> il Decreto del Ministro dell’istruzione 8 agosto 2022, n. 218, distribuisce le risorse tra le istituzioni scolastiche in attuazione del Piano “Scuola 4.0 e fornisce le istruzioni operative per definire le modalità di progettazione, al fine dell’assegnazione dei fondi;</w:t>
      </w:r>
    </w:p>
    <w:p w:rsidR="00CC632C" w:rsidRPr="00FF1F0B" w:rsidRDefault="00CC632C" w:rsidP="00AE161C">
      <w:pPr>
        <w:spacing w:line="360" w:lineRule="auto"/>
        <w:jc w:val="both"/>
        <w:rPr>
          <w:sz w:val="22"/>
          <w:szCs w:val="22"/>
        </w:rPr>
      </w:pPr>
      <w:r w:rsidRPr="00FF1F0B">
        <w:rPr>
          <w:b/>
          <w:sz w:val="22"/>
          <w:szCs w:val="22"/>
        </w:rPr>
        <w:t>VISTE</w:t>
      </w:r>
      <w:r w:rsidRPr="00FF1F0B">
        <w:rPr>
          <w:sz w:val="22"/>
          <w:szCs w:val="22"/>
        </w:rPr>
        <w:tab/>
        <w:t>le istruzioni operative dell’Unità di missione per il PNRR del Ministero dell’istruzione e del merito prot. n. 109799 del 30 dicembre 2022;</w:t>
      </w:r>
    </w:p>
    <w:p w:rsidR="00CC632C" w:rsidRPr="00FF1F0B" w:rsidRDefault="00CC632C" w:rsidP="00AE161C">
      <w:pPr>
        <w:autoSpaceDE w:val="0"/>
        <w:autoSpaceDN w:val="0"/>
        <w:adjustRightInd w:val="0"/>
        <w:spacing w:line="360" w:lineRule="auto"/>
        <w:ind w:right="142"/>
        <w:jc w:val="both"/>
        <w:rPr>
          <w:sz w:val="22"/>
          <w:szCs w:val="22"/>
        </w:rPr>
      </w:pPr>
      <w:r w:rsidRPr="00FF1F0B">
        <w:rPr>
          <w:b/>
          <w:sz w:val="22"/>
          <w:szCs w:val="22"/>
        </w:rPr>
        <w:t>VISTO</w:t>
      </w:r>
      <w:r w:rsidRPr="00FF1F0B">
        <w:rPr>
          <w:sz w:val="22"/>
          <w:szCs w:val="22"/>
        </w:rPr>
        <w:t xml:space="preserve"> il progetto “Insieme costruiamo Futuro” a valere sul  PIANO  NAZIONALE DI RIPRESA E RESILIENZA – MISSIONE 4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Azioni  di prevenzione e contrasto alla dispersione scolastica (D.M. 170/2022) Codice avviso:   M4C1I1.4-2022-981</w:t>
      </w:r>
    </w:p>
    <w:p w:rsidR="00CC632C" w:rsidRPr="00FF1F0B" w:rsidRDefault="00CC632C" w:rsidP="00AE161C">
      <w:pPr>
        <w:autoSpaceDE w:val="0"/>
        <w:autoSpaceDN w:val="0"/>
        <w:adjustRightInd w:val="0"/>
        <w:spacing w:line="360" w:lineRule="auto"/>
        <w:ind w:right="142"/>
        <w:jc w:val="both"/>
        <w:rPr>
          <w:sz w:val="22"/>
          <w:szCs w:val="22"/>
        </w:rPr>
      </w:pPr>
      <w:r w:rsidRPr="00FF1F0B">
        <w:rPr>
          <w:sz w:val="22"/>
          <w:szCs w:val="22"/>
        </w:rPr>
        <w:t>CUP Progetto: F94D22003950006- Codice progetto: M4C1I1.4-2022-981 P 11965-  Importo assegnato: € 170.312,60</w:t>
      </w:r>
    </w:p>
    <w:p w:rsidR="00CC632C" w:rsidRPr="00FF1F0B" w:rsidRDefault="00CC632C" w:rsidP="00AE161C">
      <w:pPr>
        <w:pStyle w:val="Default"/>
        <w:spacing w:line="360" w:lineRule="auto"/>
        <w:ind w:right="142"/>
        <w:jc w:val="both"/>
        <w:rPr>
          <w:rFonts w:ascii="Times New Roman" w:hAnsi="Times New Roman" w:cs="Times New Roman"/>
          <w:color w:val="auto"/>
          <w:sz w:val="22"/>
          <w:szCs w:val="22"/>
        </w:rPr>
      </w:pPr>
      <w:r w:rsidRPr="00FF1F0B">
        <w:rPr>
          <w:rFonts w:ascii="Times New Roman" w:hAnsi="Times New Roman" w:cs="Times New Roman"/>
          <w:b/>
          <w:color w:val="auto"/>
          <w:sz w:val="22"/>
          <w:szCs w:val="22"/>
        </w:rPr>
        <w:t xml:space="preserve">VISTE </w:t>
      </w:r>
      <w:r w:rsidRPr="00FF1F0B">
        <w:rPr>
          <w:rFonts w:ascii="Times New Roman" w:hAnsi="Times New Roman" w:cs="Times New Roman"/>
          <w:color w:val="auto"/>
          <w:sz w:val="22"/>
          <w:szCs w:val="22"/>
        </w:rPr>
        <w:t>le delibere di approvazione del progetto da parte degli OOCC;</w:t>
      </w:r>
    </w:p>
    <w:p w:rsidR="00CC632C" w:rsidRPr="00FF1F0B" w:rsidRDefault="00CC632C" w:rsidP="00AE161C">
      <w:pPr>
        <w:autoSpaceDE w:val="0"/>
        <w:autoSpaceDN w:val="0"/>
        <w:adjustRightInd w:val="0"/>
        <w:spacing w:line="360" w:lineRule="auto"/>
        <w:ind w:right="142"/>
        <w:jc w:val="both"/>
        <w:rPr>
          <w:color w:val="000000"/>
          <w:sz w:val="22"/>
          <w:szCs w:val="22"/>
        </w:rPr>
      </w:pPr>
      <w:r w:rsidRPr="00FF1F0B">
        <w:rPr>
          <w:b/>
          <w:sz w:val="22"/>
          <w:szCs w:val="22"/>
        </w:rPr>
        <w:t>VISTO</w:t>
      </w:r>
      <w:r w:rsidRPr="00FF1F0B">
        <w:rPr>
          <w:sz w:val="22"/>
          <w:szCs w:val="22"/>
        </w:rPr>
        <w:t xml:space="preserve"> l’</w:t>
      </w:r>
      <w:r w:rsidRPr="00FF1F0B">
        <w:rPr>
          <w:color w:val="000000"/>
          <w:sz w:val="22"/>
          <w:szCs w:val="22"/>
        </w:rPr>
        <w:t xml:space="preserve">Accordo di concessione per la regolamentazione dei rapporti di attuazione, gestione e controllo relativi al progetto in oggetto. </w:t>
      </w:r>
    </w:p>
    <w:p w:rsidR="00CC632C" w:rsidRDefault="00CC632C" w:rsidP="00AE161C">
      <w:pPr>
        <w:spacing w:line="360" w:lineRule="auto"/>
        <w:jc w:val="both"/>
        <w:rPr>
          <w:sz w:val="22"/>
          <w:szCs w:val="22"/>
        </w:rPr>
      </w:pPr>
      <w:r w:rsidRPr="00AC7CE1">
        <w:rPr>
          <w:b/>
          <w:bCs/>
          <w:sz w:val="22"/>
          <w:szCs w:val="22"/>
        </w:rPr>
        <w:t>CONSIDERATO</w:t>
      </w:r>
      <w:r w:rsidRPr="00AC7CE1">
        <w:rPr>
          <w:sz w:val="22"/>
          <w:szCs w:val="22"/>
        </w:rPr>
        <w:t xml:space="preserve"> che tra le attività di progetto sono previste attività di mentoring, percorsi di potenziamento delle competenze di base, percorsi di orientamento con il coinvolgimento delle famiglie e percorsi formativi e laboratoriali co curriculari, attività che mirano ad agire precocemente sulle fragilità negli apprendimenti e sul rischio dispersione;</w:t>
      </w:r>
    </w:p>
    <w:p w:rsidR="001A5CBD" w:rsidRPr="004A20B7" w:rsidRDefault="003D2A52" w:rsidP="004A20B7">
      <w:pPr>
        <w:spacing w:line="360" w:lineRule="auto"/>
        <w:jc w:val="both"/>
        <w:rPr>
          <w:sz w:val="22"/>
          <w:szCs w:val="22"/>
        </w:rPr>
      </w:pPr>
      <w:r w:rsidRPr="003D2A52">
        <w:rPr>
          <w:b/>
          <w:sz w:val="22"/>
          <w:szCs w:val="22"/>
        </w:rPr>
        <w:t>CONSIDERATO</w:t>
      </w:r>
      <w:r>
        <w:rPr>
          <w:sz w:val="22"/>
          <w:szCs w:val="22"/>
        </w:rPr>
        <w:t xml:space="preserve"> che occorre individuare gruppi di studenti interessati alla partecipazione dei percorsi formativi laboratoriali co-curriculari;</w:t>
      </w:r>
    </w:p>
    <w:p w:rsidR="00833C26" w:rsidRPr="00833C26" w:rsidRDefault="00E33F25" w:rsidP="00A20B53">
      <w:pPr>
        <w:tabs>
          <w:tab w:val="left" w:pos="6812"/>
        </w:tabs>
        <w:jc w:val="center"/>
        <w:rPr>
          <w:b/>
          <w:sz w:val="24"/>
          <w:szCs w:val="24"/>
        </w:rPr>
      </w:pPr>
      <w:r>
        <w:rPr>
          <w:b/>
          <w:sz w:val="24"/>
          <w:szCs w:val="24"/>
        </w:rPr>
        <w:t xml:space="preserve">DETERMINA </w:t>
      </w:r>
    </w:p>
    <w:p w:rsidR="00833C26" w:rsidRPr="00833C26" w:rsidRDefault="00833C26" w:rsidP="00A20B53">
      <w:pPr>
        <w:tabs>
          <w:tab w:val="left" w:pos="6812"/>
        </w:tabs>
        <w:jc w:val="center"/>
        <w:rPr>
          <w:b/>
          <w:sz w:val="24"/>
          <w:szCs w:val="24"/>
        </w:rPr>
      </w:pPr>
    </w:p>
    <w:p w:rsidR="00016756" w:rsidRPr="00E33F25" w:rsidRDefault="00E33F25" w:rsidP="007B422C">
      <w:pPr>
        <w:widowControl w:val="0"/>
        <w:tabs>
          <w:tab w:val="left" w:pos="1733"/>
        </w:tabs>
        <w:spacing w:line="360" w:lineRule="auto"/>
        <w:ind w:right="284"/>
        <w:jc w:val="both"/>
        <w:rPr>
          <w:sz w:val="24"/>
          <w:szCs w:val="24"/>
        </w:rPr>
      </w:pPr>
      <w:r>
        <w:rPr>
          <w:sz w:val="24"/>
          <w:szCs w:val="24"/>
        </w:rPr>
        <w:t xml:space="preserve">Di avviare un </w:t>
      </w:r>
      <w:r w:rsidR="00833C26" w:rsidRPr="00833C26">
        <w:rPr>
          <w:sz w:val="24"/>
          <w:szCs w:val="24"/>
        </w:rPr>
        <w:t xml:space="preserve"> avviso</w:t>
      </w:r>
      <w:r w:rsidR="00A57E8D">
        <w:rPr>
          <w:sz w:val="24"/>
          <w:szCs w:val="24"/>
        </w:rPr>
        <w:t xml:space="preserve"> per </w:t>
      </w:r>
      <w:r w:rsidR="00833C26" w:rsidRPr="00833C26">
        <w:rPr>
          <w:sz w:val="24"/>
          <w:szCs w:val="24"/>
        </w:rPr>
        <w:t xml:space="preserve"> </w:t>
      </w:r>
      <w:r w:rsidR="007B422C">
        <w:rPr>
          <w:sz w:val="22"/>
          <w:szCs w:val="22"/>
        </w:rPr>
        <w:t>l’adesione degli studenti ai</w:t>
      </w:r>
      <w:r>
        <w:rPr>
          <w:sz w:val="22"/>
          <w:szCs w:val="22"/>
        </w:rPr>
        <w:t xml:space="preserve"> </w:t>
      </w:r>
      <w:r w:rsidR="007B422C">
        <w:rPr>
          <w:sz w:val="22"/>
          <w:szCs w:val="22"/>
        </w:rPr>
        <w:t xml:space="preserve"> percorsi formativi</w:t>
      </w:r>
      <w:r w:rsidR="007B422C" w:rsidRPr="007B422C">
        <w:rPr>
          <w:sz w:val="22"/>
          <w:szCs w:val="22"/>
        </w:rPr>
        <w:t xml:space="preserve"> </w:t>
      </w:r>
      <w:r w:rsidR="00016756">
        <w:rPr>
          <w:sz w:val="22"/>
          <w:szCs w:val="22"/>
        </w:rPr>
        <w:t>laboratoriali co-curriculari</w:t>
      </w:r>
      <w:r>
        <w:rPr>
          <w:sz w:val="22"/>
          <w:szCs w:val="22"/>
        </w:rPr>
        <w:t xml:space="preserve"> di seguito indicati</w:t>
      </w:r>
      <w:r w:rsidR="00016756">
        <w:rPr>
          <w:sz w:val="22"/>
          <w:szCs w:val="22"/>
        </w:rPr>
        <w:t>:</w:t>
      </w:r>
    </w:p>
    <w:p w:rsidR="00016756" w:rsidRDefault="00016756" w:rsidP="00016756">
      <w:pPr>
        <w:spacing w:line="276" w:lineRule="auto"/>
        <w:jc w:val="both"/>
        <w:rPr>
          <w:sz w:val="22"/>
          <w:szCs w:val="22"/>
        </w:rPr>
      </w:pPr>
    </w:p>
    <w:tbl>
      <w:tblPr>
        <w:tblStyle w:val="Grigliatabella"/>
        <w:tblW w:w="0" w:type="auto"/>
        <w:tblInd w:w="898" w:type="dxa"/>
        <w:tblLook w:val="04A0"/>
      </w:tblPr>
      <w:tblGrid>
        <w:gridCol w:w="911"/>
        <w:gridCol w:w="7230"/>
      </w:tblGrid>
      <w:tr w:rsidR="00016756" w:rsidTr="00770186">
        <w:tc>
          <w:tcPr>
            <w:tcW w:w="911" w:type="dxa"/>
          </w:tcPr>
          <w:p w:rsidR="00016756" w:rsidRPr="008D5D99" w:rsidRDefault="00016756" w:rsidP="00770186">
            <w:pPr>
              <w:pStyle w:val="Corpodeltesto"/>
              <w:spacing w:before="4"/>
              <w:rPr>
                <w:rFonts w:ascii="Times New Roman" w:hAnsi="Times New Roman" w:cs="Times New Roman"/>
                <w:b/>
              </w:rPr>
            </w:pPr>
            <w:r w:rsidRPr="008D5D99">
              <w:rPr>
                <w:rFonts w:ascii="Times New Roman" w:hAnsi="Times New Roman" w:cs="Times New Roman"/>
                <w:b/>
              </w:rPr>
              <w:t>1</w:t>
            </w:r>
          </w:p>
        </w:tc>
        <w:tc>
          <w:tcPr>
            <w:tcW w:w="7230" w:type="dxa"/>
          </w:tcPr>
          <w:p w:rsidR="00FC5CED" w:rsidRPr="008D5D99" w:rsidRDefault="00016756" w:rsidP="00770186">
            <w:pPr>
              <w:pStyle w:val="Corpodeltesto"/>
              <w:spacing w:before="4"/>
              <w:rPr>
                <w:rFonts w:ascii="Times New Roman" w:hAnsi="Times New Roman" w:cs="Times New Roman"/>
                <w:b/>
              </w:rPr>
            </w:pPr>
            <w:r w:rsidRPr="008D5D99">
              <w:rPr>
                <w:rFonts w:ascii="Times New Roman" w:hAnsi="Times New Roman" w:cs="Times New Roman"/>
                <w:b/>
              </w:rPr>
              <w:t>Salute e benessere</w:t>
            </w:r>
          </w:p>
        </w:tc>
      </w:tr>
      <w:tr w:rsidR="00016756" w:rsidTr="00770186">
        <w:tc>
          <w:tcPr>
            <w:tcW w:w="911" w:type="dxa"/>
          </w:tcPr>
          <w:p w:rsidR="00016756" w:rsidRPr="008D5D99" w:rsidRDefault="00016756" w:rsidP="00770186">
            <w:pPr>
              <w:suppressAutoHyphens/>
              <w:spacing w:line="360" w:lineRule="auto"/>
              <w:jc w:val="both"/>
              <w:rPr>
                <w:b/>
                <w:sz w:val="22"/>
                <w:szCs w:val="22"/>
              </w:rPr>
            </w:pPr>
            <w:r w:rsidRPr="008D5D99">
              <w:rPr>
                <w:b/>
                <w:sz w:val="22"/>
                <w:szCs w:val="22"/>
              </w:rPr>
              <w:t>2</w:t>
            </w:r>
          </w:p>
        </w:tc>
        <w:tc>
          <w:tcPr>
            <w:tcW w:w="7230" w:type="dxa"/>
          </w:tcPr>
          <w:p w:rsidR="00016756" w:rsidRPr="008D5D99" w:rsidRDefault="00016756" w:rsidP="00770186">
            <w:pPr>
              <w:suppressAutoHyphens/>
              <w:spacing w:line="360" w:lineRule="auto"/>
              <w:jc w:val="both"/>
              <w:rPr>
                <w:b/>
                <w:sz w:val="22"/>
                <w:szCs w:val="22"/>
              </w:rPr>
            </w:pPr>
            <w:r w:rsidRPr="008D5D99">
              <w:rPr>
                <w:b/>
                <w:sz w:val="22"/>
                <w:szCs w:val="22"/>
              </w:rPr>
              <w:t>Valorizzazione degli scarti in cucina</w:t>
            </w:r>
          </w:p>
        </w:tc>
      </w:tr>
      <w:tr w:rsidR="00016756" w:rsidTr="00770186">
        <w:tc>
          <w:tcPr>
            <w:tcW w:w="911" w:type="dxa"/>
          </w:tcPr>
          <w:p w:rsidR="00016756" w:rsidRPr="008D5D99" w:rsidRDefault="00016756" w:rsidP="00770186">
            <w:pPr>
              <w:suppressAutoHyphens/>
              <w:spacing w:line="360" w:lineRule="auto"/>
              <w:jc w:val="both"/>
              <w:rPr>
                <w:b/>
                <w:sz w:val="22"/>
                <w:szCs w:val="22"/>
              </w:rPr>
            </w:pPr>
            <w:r w:rsidRPr="008D5D99">
              <w:rPr>
                <w:b/>
                <w:sz w:val="22"/>
                <w:szCs w:val="22"/>
              </w:rPr>
              <w:lastRenderedPageBreak/>
              <w:t>3</w:t>
            </w:r>
          </w:p>
        </w:tc>
        <w:tc>
          <w:tcPr>
            <w:tcW w:w="7230" w:type="dxa"/>
          </w:tcPr>
          <w:p w:rsidR="00016756" w:rsidRPr="008D5D99" w:rsidRDefault="00016756" w:rsidP="00770186">
            <w:pPr>
              <w:suppressAutoHyphens/>
              <w:spacing w:line="360" w:lineRule="auto"/>
              <w:jc w:val="both"/>
              <w:rPr>
                <w:b/>
                <w:sz w:val="22"/>
                <w:szCs w:val="22"/>
              </w:rPr>
            </w:pPr>
            <w:r w:rsidRPr="008D5D99">
              <w:rPr>
                <w:b/>
                <w:sz w:val="22"/>
                <w:szCs w:val="22"/>
              </w:rPr>
              <w:t>Produzione Birra e Liquori</w:t>
            </w:r>
          </w:p>
        </w:tc>
      </w:tr>
      <w:tr w:rsidR="00016756" w:rsidTr="00770186">
        <w:tc>
          <w:tcPr>
            <w:tcW w:w="911" w:type="dxa"/>
          </w:tcPr>
          <w:p w:rsidR="00016756" w:rsidRPr="008D5D99" w:rsidRDefault="00016756" w:rsidP="00770186">
            <w:pPr>
              <w:suppressAutoHyphens/>
              <w:spacing w:line="360" w:lineRule="auto"/>
              <w:jc w:val="both"/>
              <w:rPr>
                <w:b/>
                <w:sz w:val="22"/>
                <w:szCs w:val="22"/>
              </w:rPr>
            </w:pPr>
            <w:r w:rsidRPr="008D5D99">
              <w:rPr>
                <w:b/>
                <w:sz w:val="22"/>
                <w:szCs w:val="22"/>
              </w:rPr>
              <w:t>4</w:t>
            </w:r>
          </w:p>
        </w:tc>
        <w:tc>
          <w:tcPr>
            <w:tcW w:w="7230" w:type="dxa"/>
          </w:tcPr>
          <w:p w:rsidR="00016756" w:rsidRPr="008D5D99" w:rsidRDefault="00016756" w:rsidP="00770186">
            <w:pPr>
              <w:suppressAutoHyphens/>
              <w:spacing w:line="360" w:lineRule="auto"/>
              <w:jc w:val="both"/>
              <w:rPr>
                <w:b/>
                <w:sz w:val="22"/>
                <w:szCs w:val="22"/>
              </w:rPr>
            </w:pPr>
            <w:r w:rsidRPr="008D5D99">
              <w:rPr>
                <w:b/>
                <w:sz w:val="22"/>
                <w:szCs w:val="22"/>
              </w:rPr>
              <w:t>Dieta mediterranea con particolare riguardo alla "cucina di strettissimo magro" di San Francesco di Paola</w:t>
            </w:r>
            <w:r w:rsidR="00FC5CED">
              <w:rPr>
                <w:b/>
                <w:sz w:val="22"/>
                <w:szCs w:val="22"/>
              </w:rPr>
              <w:t>;</w:t>
            </w:r>
          </w:p>
        </w:tc>
      </w:tr>
      <w:tr w:rsidR="00016756" w:rsidTr="00770186">
        <w:tc>
          <w:tcPr>
            <w:tcW w:w="911" w:type="dxa"/>
          </w:tcPr>
          <w:p w:rsidR="00016756" w:rsidRPr="008D5D99" w:rsidRDefault="00016756" w:rsidP="00770186">
            <w:pPr>
              <w:suppressAutoHyphens/>
              <w:spacing w:line="360" w:lineRule="auto"/>
              <w:jc w:val="both"/>
              <w:rPr>
                <w:b/>
                <w:sz w:val="22"/>
                <w:szCs w:val="22"/>
              </w:rPr>
            </w:pPr>
            <w:r w:rsidRPr="008D5D99">
              <w:rPr>
                <w:b/>
                <w:sz w:val="22"/>
                <w:szCs w:val="22"/>
              </w:rPr>
              <w:t>5</w:t>
            </w:r>
          </w:p>
        </w:tc>
        <w:tc>
          <w:tcPr>
            <w:tcW w:w="7230" w:type="dxa"/>
          </w:tcPr>
          <w:p w:rsidR="00016756" w:rsidRPr="008D5D99" w:rsidRDefault="00016756" w:rsidP="00770186">
            <w:pPr>
              <w:suppressAutoHyphens/>
              <w:spacing w:line="360" w:lineRule="auto"/>
              <w:jc w:val="both"/>
              <w:rPr>
                <w:b/>
                <w:sz w:val="22"/>
                <w:szCs w:val="22"/>
              </w:rPr>
            </w:pPr>
            <w:r w:rsidRPr="008D5D99">
              <w:rPr>
                <w:b/>
                <w:sz w:val="22"/>
                <w:szCs w:val="22"/>
              </w:rPr>
              <w:t>Erbe officinali e loro uso in cucina;</w:t>
            </w:r>
          </w:p>
        </w:tc>
      </w:tr>
      <w:tr w:rsidR="00016756" w:rsidTr="00770186">
        <w:tc>
          <w:tcPr>
            <w:tcW w:w="911" w:type="dxa"/>
          </w:tcPr>
          <w:p w:rsidR="00016756" w:rsidRPr="008D5D99" w:rsidRDefault="00016756" w:rsidP="00770186">
            <w:pPr>
              <w:suppressAutoHyphens/>
              <w:spacing w:line="360" w:lineRule="auto"/>
              <w:jc w:val="both"/>
              <w:rPr>
                <w:b/>
                <w:sz w:val="22"/>
                <w:szCs w:val="22"/>
              </w:rPr>
            </w:pPr>
            <w:r w:rsidRPr="008D5D99">
              <w:rPr>
                <w:b/>
                <w:sz w:val="22"/>
                <w:szCs w:val="22"/>
              </w:rPr>
              <w:t>6</w:t>
            </w:r>
          </w:p>
        </w:tc>
        <w:tc>
          <w:tcPr>
            <w:tcW w:w="7230" w:type="dxa"/>
          </w:tcPr>
          <w:p w:rsidR="00016756" w:rsidRPr="008D5D99" w:rsidRDefault="00016756" w:rsidP="00770186">
            <w:pPr>
              <w:suppressAutoHyphens/>
              <w:spacing w:line="360" w:lineRule="auto"/>
              <w:jc w:val="both"/>
              <w:rPr>
                <w:b/>
                <w:sz w:val="22"/>
                <w:szCs w:val="22"/>
              </w:rPr>
            </w:pPr>
            <w:r w:rsidRPr="008D5D99">
              <w:rPr>
                <w:b/>
                <w:sz w:val="22"/>
                <w:szCs w:val="22"/>
              </w:rPr>
              <w:t>Sommelier</w:t>
            </w:r>
          </w:p>
        </w:tc>
      </w:tr>
      <w:tr w:rsidR="00016756" w:rsidTr="00770186">
        <w:tc>
          <w:tcPr>
            <w:tcW w:w="911" w:type="dxa"/>
          </w:tcPr>
          <w:p w:rsidR="00016756" w:rsidRPr="008D5D99" w:rsidRDefault="00016756" w:rsidP="00770186">
            <w:pPr>
              <w:suppressAutoHyphens/>
              <w:spacing w:line="360" w:lineRule="auto"/>
              <w:jc w:val="both"/>
              <w:rPr>
                <w:b/>
                <w:sz w:val="22"/>
                <w:szCs w:val="22"/>
              </w:rPr>
            </w:pPr>
            <w:r w:rsidRPr="008D5D99">
              <w:rPr>
                <w:b/>
                <w:sz w:val="22"/>
                <w:szCs w:val="22"/>
              </w:rPr>
              <w:t>7</w:t>
            </w:r>
          </w:p>
        </w:tc>
        <w:tc>
          <w:tcPr>
            <w:tcW w:w="7230" w:type="dxa"/>
          </w:tcPr>
          <w:p w:rsidR="00016756" w:rsidRPr="008D5D99" w:rsidRDefault="00016756" w:rsidP="00770186">
            <w:pPr>
              <w:suppressAutoHyphens/>
              <w:spacing w:line="360" w:lineRule="auto"/>
              <w:jc w:val="both"/>
              <w:rPr>
                <w:b/>
                <w:sz w:val="22"/>
                <w:szCs w:val="22"/>
              </w:rPr>
            </w:pPr>
            <w:r w:rsidRPr="008D5D99">
              <w:rPr>
                <w:b/>
                <w:sz w:val="22"/>
                <w:szCs w:val="22"/>
              </w:rPr>
              <w:t>Arte bianca</w:t>
            </w:r>
          </w:p>
        </w:tc>
      </w:tr>
      <w:tr w:rsidR="00016756" w:rsidTr="00770186">
        <w:tc>
          <w:tcPr>
            <w:tcW w:w="911" w:type="dxa"/>
          </w:tcPr>
          <w:p w:rsidR="00016756" w:rsidRPr="008D5D99" w:rsidRDefault="00016756" w:rsidP="00770186">
            <w:pPr>
              <w:suppressAutoHyphens/>
              <w:spacing w:line="360" w:lineRule="auto"/>
              <w:jc w:val="both"/>
              <w:rPr>
                <w:b/>
                <w:sz w:val="22"/>
                <w:szCs w:val="22"/>
              </w:rPr>
            </w:pPr>
            <w:r w:rsidRPr="008D5D99">
              <w:rPr>
                <w:b/>
                <w:sz w:val="22"/>
                <w:szCs w:val="22"/>
              </w:rPr>
              <w:t>8</w:t>
            </w:r>
          </w:p>
        </w:tc>
        <w:tc>
          <w:tcPr>
            <w:tcW w:w="7230" w:type="dxa"/>
          </w:tcPr>
          <w:p w:rsidR="00016756" w:rsidRPr="008D5D99" w:rsidRDefault="00016756" w:rsidP="00770186">
            <w:pPr>
              <w:suppressAutoHyphens/>
              <w:spacing w:line="360" w:lineRule="auto"/>
              <w:jc w:val="both"/>
              <w:rPr>
                <w:b/>
                <w:sz w:val="22"/>
                <w:szCs w:val="22"/>
              </w:rPr>
            </w:pPr>
            <w:r w:rsidRPr="008D5D99">
              <w:rPr>
                <w:b/>
                <w:sz w:val="22"/>
                <w:szCs w:val="22"/>
              </w:rPr>
              <w:t>Assaggiatore olii e formaggi</w:t>
            </w:r>
          </w:p>
        </w:tc>
      </w:tr>
    </w:tbl>
    <w:p w:rsidR="00016756" w:rsidRDefault="00016756" w:rsidP="00016756">
      <w:pPr>
        <w:spacing w:line="276" w:lineRule="auto"/>
        <w:jc w:val="both"/>
        <w:rPr>
          <w:b/>
          <w:sz w:val="22"/>
          <w:szCs w:val="22"/>
        </w:rPr>
      </w:pPr>
    </w:p>
    <w:p w:rsidR="002F375D" w:rsidRDefault="008703C9" w:rsidP="00016756">
      <w:pPr>
        <w:spacing w:line="276" w:lineRule="auto"/>
        <w:jc w:val="both"/>
        <w:rPr>
          <w:sz w:val="22"/>
          <w:szCs w:val="22"/>
        </w:rPr>
      </w:pPr>
      <w:r>
        <w:rPr>
          <w:sz w:val="22"/>
          <w:szCs w:val="22"/>
        </w:rPr>
        <w:t xml:space="preserve">I corsi potrebbero essere </w:t>
      </w:r>
      <w:r w:rsidR="002F375D">
        <w:rPr>
          <w:sz w:val="22"/>
          <w:szCs w:val="22"/>
        </w:rPr>
        <w:t xml:space="preserve">avviati nello stesso periodo, pertanto </w:t>
      </w:r>
      <w:r>
        <w:rPr>
          <w:sz w:val="22"/>
          <w:szCs w:val="22"/>
        </w:rPr>
        <w:t>g</w:t>
      </w:r>
      <w:r w:rsidR="002F375D">
        <w:rPr>
          <w:sz w:val="22"/>
          <w:szCs w:val="22"/>
        </w:rPr>
        <w:t>li studenti dovranno indicare i corsi di interesse secondo un ordine di priorità ( indicare con numero di interesse decrescete )</w:t>
      </w:r>
      <w:r>
        <w:rPr>
          <w:sz w:val="22"/>
          <w:szCs w:val="22"/>
        </w:rPr>
        <w:t>.</w:t>
      </w:r>
    </w:p>
    <w:p w:rsidR="00016756" w:rsidRPr="00E52696" w:rsidRDefault="00016756" w:rsidP="00016756">
      <w:pPr>
        <w:spacing w:line="276" w:lineRule="auto"/>
        <w:jc w:val="both"/>
        <w:rPr>
          <w:sz w:val="22"/>
          <w:szCs w:val="22"/>
        </w:rPr>
      </w:pPr>
      <w:r w:rsidRPr="00E52696">
        <w:rPr>
          <w:sz w:val="22"/>
          <w:szCs w:val="22"/>
        </w:rPr>
        <w:t xml:space="preserve">Ciascun percorso si  svolgerà in orario extracurriculare e sarà rivolto a un gruppo di 10 studenti, per una durata di 18 ore per ciascuna edizione </w:t>
      </w:r>
      <w:r w:rsidRPr="002F375D">
        <w:rPr>
          <w:sz w:val="22"/>
          <w:szCs w:val="22"/>
        </w:rPr>
        <w:t>per complessive  16 edizioni.</w:t>
      </w:r>
      <w:r w:rsidRPr="00E52696">
        <w:rPr>
          <w:sz w:val="22"/>
          <w:szCs w:val="22"/>
        </w:rPr>
        <w:t xml:space="preserve">   </w:t>
      </w:r>
    </w:p>
    <w:p w:rsidR="00016756" w:rsidRPr="00B014AE" w:rsidRDefault="00F96611" w:rsidP="00B014AE">
      <w:pPr>
        <w:spacing w:line="276" w:lineRule="auto"/>
        <w:jc w:val="both"/>
        <w:rPr>
          <w:sz w:val="22"/>
          <w:szCs w:val="22"/>
        </w:rPr>
      </w:pPr>
      <w:r>
        <w:rPr>
          <w:sz w:val="22"/>
          <w:szCs w:val="22"/>
        </w:rPr>
        <w:t xml:space="preserve">Sarà </w:t>
      </w:r>
      <w:r w:rsidRPr="002F375D">
        <w:rPr>
          <w:sz w:val="22"/>
          <w:szCs w:val="22"/>
        </w:rPr>
        <w:t>data priorità</w:t>
      </w:r>
      <w:r>
        <w:rPr>
          <w:sz w:val="22"/>
          <w:szCs w:val="22"/>
        </w:rPr>
        <w:t xml:space="preserve"> nella individuazione </w:t>
      </w:r>
      <w:r w:rsidRPr="00F96611">
        <w:rPr>
          <w:sz w:val="22"/>
          <w:szCs w:val="22"/>
        </w:rPr>
        <w:t xml:space="preserve">agli studenti frequentanti le </w:t>
      </w:r>
      <w:r w:rsidRPr="002F375D">
        <w:rPr>
          <w:sz w:val="22"/>
          <w:szCs w:val="22"/>
        </w:rPr>
        <w:t>classi Terze e Quarte</w:t>
      </w:r>
      <w:r w:rsidR="00016756" w:rsidRPr="00B014AE">
        <w:rPr>
          <w:sz w:val="22"/>
          <w:szCs w:val="22"/>
        </w:rPr>
        <w:t xml:space="preserve"> IPSEOA S. Francesco</w:t>
      </w:r>
      <w:r w:rsidR="00B014AE">
        <w:rPr>
          <w:sz w:val="22"/>
          <w:szCs w:val="22"/>
        </w:rPr>
        <w:t xml:space="preserve"> ed in seguito a:</w:t>
      </w:r>
    </w:p>
    <w:p w:rsidR="00016756" w:rsidRDefault="00016756" w:rsidP="00016756">
      <w:pPr>
        <w:pStyle w:val="Paragrafoelenco"/>
        <w:numPr>
          <w:ilvl w:val="0"/>
          <w:numId w:val="23"/>
        </w:numPr>
        <w:spacing w:line="276" w:lineRule="auto"/>
        <w:jc w:val="both"/>
        <w:rPr>
          <w:sz w:val="22"/>
          <w:szCs w:val="22"/>
        </w:rPr>
      </w:pPr>
      <w:r>
        <w:rPr>
          <w:sz w:val="22"/>
          <w:szCs w:val="22"/>
        </w:rPr>
        <w:t>Studentesse e studenti frequentanti le classi I, II, V</w:t>
      </w:r>
    </w:p>
    <w:p w:rsidR="00016756" w:rsidRPr="00823BC0" w:rsidRDefault="00016756" w:rsidP="00016756">
      <w:pPr>
        <w:pStyle w:val="Paragrafoelenco"/>
        <w:numPr>
          <w:ilvl w:val="0"/>
          <w:numId w:val="23"/>
        </w:numPr>
        <w:spacing w:line="276" w:lineRule="auto"/>
        <w:jc w:val="both"/>
        <w:rPr>
          <w:sz w:val="22"/>
          <w:szCs w:val="22"/>
        </w:rPr>
      </w:pPr>
      <w:r w:rsidRPr="00823BC0">
        <w:rPr>
          <w:sz w:val="22"/>
          <w:szCs w:val="22"/>
        </w:rPr>
        <w:t>non frequentanti;</w:t>
      </w:r>
      <w:r w:rsidRPr="00823BC0">
        <w:rPr>
          <w:b/>
          <w:sz w:val="22"/>
          <w:szCs w:val="22"/>
        </w:rPr>
        <w:t xml:space="preserve"> </w:t>
      </w:r>
    </w:p>
    <w:p w:rsidR="0017110A" w:rsidRPr="00DA123C" w:rsidRDefault="00B014AE" w:rsidP="00DA123C">
      <w:pPr>
        <w:widowControl w:val="0"/>
        <w:overflowPunct w:val="0"/>
        <w:autoSpaceDE w:val="0"/>
        <w:autoSpaceDN w:val="0"/>
        <w:adjustRightInd w:val="0"/>
        <w:spacing w:line="360" w:lineRule="auto"/>
        <w:textAlignment w:val="baseline"/>
        <w:rPr>
          <w:sz w:val="22"/>
          <w:szCs w:val="22"/>
        </w:rPr>
      </w:pPr>
      <w:r w:rsidRPr="00B014AE">
        <w:rPr>
          <w:sz w:val="22"/>
          <w:szCs w:val="22"/>
        </w:rPr>
        <w:t>I percorsi prenderanno</w:t>
      </w:r>
      <w:r w:rsidR="00A57E8D" w:rsidRPr="00B014AE">
        <w:rPr>
          <w:sz w:val="22"/>
          <w:szCs w:val="22"/>
        </w:rPr>
        <w:t xml:space="preserve"> avvio </w:t>
      </w:r>
      <w:r w:rsidR="00201FDB">
        <w:rPr>
          <w:sz w:val="22"/>
          <w:szCs w:val="22"/>
        </w:rPr>
        <w:t xml:space="preserve">presumibilmente </w:t>
      </w:r>
      <w:r w:rsidR="00A57E8D" w:rsidRPr="00B014AE">
        <w:rPr>
          <w:sz w:val="22"/>
          <w:szCs w:val="22"/>
        </w:rPr>
        <w:t xml:space="preserve">a </w:t>
      </w:r>
      <w:r w:rsidR="00880215">
        <w:rPr>
          <w:sz w:val="22"/>
          <w:szCs w:val="22"/>
        </w:rPr>
        <w:t>dic</w:t>
      </w:r>
      <w:r w:rsidR="00410EFB">
        <w:rPr>
          <w:sz w:val="22"/>
          <w:szCs w:val="22"/>
        </w:rPr>
        <w:t xml:space="preserve">embre </w:t>
      </w:r>
      <w:r w:rsidR="00A57E8D" w:rsidRPr="00B014AE">
        <w:rPr>
          <w:sz w:val="22"/>
          <w:szCs w:val="22"/>
        </w:rPr>
        <w:t xml:space="preserve">2024. </w:t>
      </w:r>
      <w:bookmarkStart w:id="0" w:name="_GoBack"/>
      <w:bookmarkEnd w:id="0"/>
    </w:p>
    <w:p w:rsidR="0017110A" w:rsidRPr="008703C9" w:rsidRDefault="00DA123C" w:rsidP="0017110A">
      <w:pPr>
        <w:autoSpaceDE w:val="0"/>
        <w:autoSpaceDN w:val="0"/>
        <w:adjustRightInd w:val="0"/>
        <w:spacing w:line="360" w:lineRule="auto"/>
        <w:jc w:val="both"/>
        <w:rPr>
          <w:sz w:val="22"/>
          <w:szCs w:val="22"/>
        </w:rPr>
      </w:pPr>
      <w:r w:rsidRPr="00DA123C">
        <w:rPr>
          <w:sz w:val="22"/>
          <w:szCs w:val="22"/>
        </w:rPr>
        <w:t>Si terrà conto di</w:t>
      </w:r>
      <w:r w:rsidRPr="00DA123C">
        <w:rPr>
          <w:b/>
          <w:sz w:val="22"/>
          <w:szCs w:val="22"/>
        </w:rPr>
        <w:t xml:space="preserve"> </w:t>
      </w:r>
      <w:r w:rsidR="0017110A" w:rsidRPr="00DA123C">
        <w:rPr>
          <w:sz w:val="22"/>
          <w:szCs w:val="22"/>
        </w:rPr>
        <w:t xml:space="preserve"> riconoscimento</w:t>
      </w:r>
      <w:r w:rsidR="0017110A" w:rsidRPr="008703C9">
        <w:rPr>
          <w:sz w:val="22"/>
          <w:szCs w:val="22"/>
        </w:rPr>
        <w:t xml:space="preserve"> del merito, del principio delle pari opportunità e della trasparenza delle operazioni, gli studenti saranno selezionati sulla base</w:t>
      </w:r>
      <w:r w:rsidR="00D47606">
        <w:rPr>
          <w:sz w:val="22"/>
          <w:szCs w:val="22"/>
        </w:rPr>
        <w:t xml:space="preserve"> dei seguenti criteri: - ragazze/i</w:t>
      </w:r>
      <w:r w:rsidR="0017110A" w:rsidRPr="008703C9">
        <w:rPr>
          <w:sz w:val="22"/>
          <w:szCs w:val="22"/>
        </w:rPr>
        <w:t xml:space="preserve"> a rischio di dispersione scolastica; - reddito più basso (autocertificazione ISEE); - ragazzi con disabilità; - riserva del 20% dei posti a ragazzi meritevoli (graduatoria di merito formulata sulla base dei giudizi finali m</w:t>
      </w:r>
      <w:r w:rsidR="00D47606">
        <w:rPr>
          <w:sz w:val="22"/>
          <w:szCs w:val="22"/>
        </w:rPr>
        <w:t>igliori, conseguiti a fine anno</w:t>
      </w:r>
      <w:r w:rsidR="0017110A" w:rsidRPr="008703C9">
        <w:rPr>
          <w:sz w:val="22"/>
          <w:szCs w:val="22"/>
        </w:rPr>
        <w:t>). Qualora le istanze di partecipazione superino il numero dei posti disponibili si effettuerà una selezione, favorendo l'inserimento dei ragazzi meno abbienti e privilegiando quelli con particolari necessità di inserimento nel tessuto sociale, secondo i seguenti criteri proposti in ordine di importanza: - 1. partecipazione delle alunne (Pari opportunità); - 2. Voto riportato n</w:t>
      </w:r>
      <w:r w:rsidR="00110DBF" w:rsidRPr="008703C9">
        <w:rPr>
          <w:sz w:val="22"/>
          <w:szCs w:val="22"/>
        </w:rPr>
        <w:t xml:space="preserve">egli insegnamenti professionalizzanti </w:t>
      </w:r>
      <w:r w:rsidR="0017110A" w:rsidRPr="008703C9">
        <w:rPr>
          <w:sz w:val="22"/>
          <w:szCs w:val="22"/>
        </w:rPr>
        <w:t>e voto di comport</w:t>
      </w:r>
      <w:r w:rsidR="00D47606">
        <w:rPr>
          <w:sz w:val="22"/>
          <w:szCs w:val="22"/>
        </w:rPr>
        <w:t>amento nell’anno scolastico 2023- 2024</w:t>
      </w:r>
      <w:r w:rsidR="0017110A" w:rsidRPr="008703C9">
        <w:rPr>
          <w:sz w:val="22"/>
          <w:szCs w:val="22"/>
        </w:rPr>
        <w:t>;</w:t>
      </w:r>
      <w:r w:rsidR="00B0067A" w:rsidRPr="008703C9">
        <w:rPr>
          <w:sz w:val="22"/>
          <w:szCs w:val="22"/>
        </w:rPr>
        <w:t xml:space="preserve"> </w:t>
      </w:r>
      <w:r w:rsidR="0017110A" w:rsidRPr="008703C9">
        <w:rPr>
          <w:sz w:val="22"/>
          <w:szCs w:val="22"/>
        </w:rPr>
        <w:t xml:space="preserve">A parità di merito, gli studenti saranno selezionati in base al criterio del reddito più basso. Nel rispetto del principio delle pari opportunità di genere, il gruppo degli studenti selezionati sarà costituito da un numero congruo di studentesse e studenti. </w:t>
      </w:r>
    </w:p>
    <w:p w:rsidR="00FF7C50" w:rsidRDefault="00FF7C50" w:rsidP="008D36C1">
      <w:pPr>
        <w:tabs>
          <w:tab w:val="left" w:pos="6812"/>
        </w:tabs>
        <w:jc w:val="right"/>
        <w:rPr>
          <w:rFonts w:eastAsia="Calibri"/>
          <w:b/>
          <w:sz w:val="22"/>
          <w:szCs w:val="22"/>
        </w:rPr>
      </w:pPr>
    </w:p>
    <w:p w:rsidR="00390ED0" w:rsidRPr="008D36C1" w:rsidRDefault="008D36C1" w:rsidP="008D36C1">
      <w:pPr>
        <w:tabs>
          <w:tab w:val="left" w:pos="6812"/>
        </w:tabs>
        <w:jc w:val="right"/>
        <w:rPr>
          <w:rFonts w:eastAsia="Calibri"/>
          <w:b/>
          <w:sz w:val="22"/>
          <w:szCs w:val="22"/>
        </w:rPr>
      </w:pPr>
      <w:r w:rsidRPr="008D36C1">
        <w:rPr>
          <w:rFonts w:eastAsia="Calibri"/>
          <w:b/>
          <w:sz w:val="22"/>
          <w:szCs w:val="22"/>
        </w:rPr>
        <w:t>L</w:t>
      </w:r>
      <w:r w:rsidR="00AC60EB">
        <w:rPr>
          <w:rFonts w:eastAsia="Calibri"/>
          <w:b/>
          <w:sz w:val="22"/>
          <w:szCs w:val="22"/>
        </w:rPr>
        <w:t>A DIRIGENTE SCOLASTICA</w:t>
      </w:r>
    </w:p>
    <w:p w:rsidR="005163E5" w:rsidRDefault="000B5797" w:rsidP="000B5797">
      <w:pPr>
        <w:tabs>
          <w:tab w:val="left" w:pos="6812"/>
        </w:tabs>
        <w:jc w:val="center"/>
        <w:rPr>
          <w:rFonts w:eastAsia="Calibri"/>
          <w:sz w:val="22"/>
          <w:szCs w:val="22"/>
        </w:rPr>
      </w:pPr>
      <w:r>
        <w:rPr>
          <w:i/>
          <w:sz w:val="22"/>
          <w:szCs w:val="22"/>
        </w:rPr>
        <w:t xml:space="preserve">                                                                                                            Dott.ssa </w:t>
      </w:r>
      <w:r w:rsidR="00410EFB">
        <w:rPr>
          <w:i/>
          <w:sz w:val="22"/>
          <w:szCs w:val="22"/>
        </w:rPr>
        <w:t>Sandra Grossi</w:t>
      </w:r>
    </w:p>
    <w:p w:rsidR="008201A5" w:rsidRDefault="008201A5" w:rsidP="008D36C1">
      <w:pPr>
        <w:tabs>
          <w:tab w:val="left" w:pos="6812"/>
        </w:tabs>
        <w:jc w:val="right"/>
      </w:pPr>
    </w:p>
    <w:p w:rsidR="005163E5" w:rsidRPr="00E17C0E" w:rsidRDefault="005163E5" w:rsidP="00E17C0E">
      <w:pPr>
        <w:tabs>
          <w:tab w:val="left" w:pos="6812"/>
        </w:tabs>
        <w:rPr>
          <w:rFonts w:eastAsia="Calibri"/>
          <w:sz w:val="22"/>
          <w:szCs w:val="22"/>
        </w:rPr>
      </w:pPr>
    </w:p>
    <w:sectPr w:rsidR="005163E5" w:rsidRPr="00E17C0E" w:rsidSect="001A5CBD">
      <w:footerReference w:type="even" r:id="rId11"/>
      <w:footerReference w:type="default" r:id="rId12"/>
      <w:pgSz w:w="11907" w:h="16839"/>
      <w:pgMar w:top="851" w:right="1134" w:bottom="851" w:left="992" w:header="567"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D1C" w:rsidRDefault="00361D1C" w:rsidP="001A5CBD">
      <w:r>
        <w:separator/>
      </w:r>
    </w:p>
  </w:endnote>
  <w:endnote w:type="continuationSeparator" w:id="1">
    <w:p w:rsidR="00361D1C" w:rsidRDefault="00361D1C" w:rsidP="001A5C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English111 Adagio B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BD" w:rsidRDefault="0087220C">
    <w:pPr>
      <w:pBdr>
        <w:top w:val="nil"/>
        <w:left w:val="nil"/>
        <w:bottom w:val="nil"/>
        <w:right w:val="nil"/>
        <w:between w:val="nil"/>
      </w:pBdr>
      <w:tabs>
        <w:tab w:val="center" w:pos="4819"/>
        <w:tab w:val="right" w:pos="9638"/>
      </w:tabs>
      <w:jc w:val="center"/>
      <w:rPr>
        <w:color w:val="000000"/>
      </w:rPr>
    </w:pPr>
    <w:r>
      <w:rPr>
        <w:color w:val="000000"/>
      </w:rPr>
      <w:fldChar w:fldCharType="begin"/>
    </w:r>
    <w:r w:rsidR="00F64D4D">
      <w:rPr>
        <w:color w:val="000000"/>
      </w:rPr>
      <w:instrText>PAGE</w:instrText>
    </w:r>
    <w:r>
      <w:rPr>
        <w:color w:val="000000"/>
      </w:rPr>
      <w:fldChar w:fldCharType="end"/>
    </w:r>
  </w:p>
  <w:p w:rsidR="001A5CBD" w:rsidRDefault="001A5CBD">
    <w:pPr>
      <w:pBdr>
        <w:top w:val="nil"/>
        <w:left w:val="nil"/>
        <w:bottom w:val="nil"/>
        <w:right w:val="nil"/>
        <w:between w:val="nil"/>
      </w:pBdr>
      <w:tabs>
        <w:tab w:val="center" w:pos="4819"/>
        <w:tab w:val="right" w:pos="9638"/>
      </w:tabs>
      <w:rPr>
        <w:color w:val="000000"/>
      </w:rPr>
    </w:pPr>
  </w:p>
  <w:p w:rsidR="001A5CBD" w:rsidRDefault="001A5CBD"/>
  <w:p w:rsidR="001A5CBD" w:rsidRDefault="001A5C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BD" w:rsidRDefault="001A5C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D1C" w:rsidRDefault="00361D1C" w:rsidP="001A5CBD">
      <w:r>
        <w:separator/>
      </w:r>
    </w:p>
  </w:footnote>
  <w:footnote w:type="continuationSeparator" w:id="1">
    <w:p w:rsidR="00361D1C" w:rsidRDefault="00361D1C" w:rsidP="001A5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3E89"/>
    <w:multiLevelType w:val="hybridMultilevel"/>
    <w:tmpl w:val="AEC4173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3F459BE"/>
    <w:multiLevelType w:val="multilevel"/>
    <w:tmpl w:val="46163F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3D655E"/>
    <w:multiLevelType w:val="hybridMultilevel"/>
    <w:tmpl w:val="46B028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C8E5825"/>
    <w:multiLevelType w:val="hybridMultilevel"/>
    <w:tmpl w:val="4CD618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371E97"/>
    <w:multiLevelType w:val="hybridMultilevel"/>
    <w:tmpl w:val="8A08E0A2"/>
    <w:lvl w:ilvl="0" w:tplc="41ACE75E">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5">
    <w:nsid w:val="2B895164"/>
    <w:multiLevelType w:val="hybridMultilevel"/>
    <w:tmpl w:val="8A08E0A2"/>
    <w:lvl w:ilvl="0" w:tplc="41ACE75E">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6">
    <w:nsid w:val="2BAF1312"/>
    <w:multiLevelType w:val="hybridMultilevel"/>
    <w:tmpl w:val="2EC0E8EA"/>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7">
    <w:nsid w:val="2D0C6644"/>
    <w:multiLevelType w:val="multilevel"/>
    <w:tmpl w:val="19A2A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5664193"/>
    <w:multiLevelType w:val="hybridMultilevel"/>
    <w:tmpl w:val="A1442B18"/>
    <w:lvl w:ilvl="0" w:tplc="C798929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CF7E2E"/>
    <w:multiLevelType w:val="hybridMultilevel"/>
    <w:tmpl w:val="DDACA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687D39"/>
    <w:multiLevelType w:val="hybridMultilevel"/>
    <w:tmpl w:val="72246A7E"/>
    <w:lvl w:ilvl="0" w:tplc="70563706">
      <w:start w:val="2"/>
      <w:numFmt w:val="bullet"/>
      <w:lvlText w:val="-"/>
      <w:lvlJc w:val="left"/>
      <w:pPr>
        <w:ind w:left="720" w:hanging="360"/>
      </w:pPr>
      <w:rPr>
        <w:rFonts w:ascii="Times New Roman" w:eastAsia="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04108E"/>
    <w:multiLevelType w:val="hybridMultilevel"/>
    <w:tmpl w:val="C1D0E77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7BB058C"/>
    <w:multiLevelType w:val="multilevel"/>
    <w:tmpl w:val="E7C40F70"/>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4AB41F6A"/>
    <w:multiLevelType w:val="multilevel"/>
    <w:tmpl w:val="D8B40B6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552F28E3"/>
    <w:multiLevelType w:val="multilevel"/>
    <w:tmpl w:val="7076CB4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nsid w:val="57CF64FD"/>
    <w:multiLevelType w:val="multilevel"/>
    <w:tmpl w:val="28605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47E70AA"/>
    <w:multiLevelType w:val="multilevel"/>
    <w:tmpl w:val="F73416E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672D7284"/>
    <w:multiLevelType w:val="hybridMultilevel"/>
    <w:tmpl w:val="98EC0D60"/>
    <w:lvl w:ilvl="0" w:tplc="4DE0E4AE">
      <w:start w:val="1"/>
      <w:numFmt w:val="bullet"/>
      <w:lvlText w:val="•"/>
      <w:lvlJc w:val="left"/>
      <w:pPr>
        <w:ind w:left="862" w:hanging="360"/>
      </w:pPr>
      <w:rPr>
        <w:rFonts w:ascii="Arial" w:hAnsi="Arial"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nsid w:val="69FB1C49"/>
    <w:multiLevelType w:val="multilevel"/>
    <w:tmpl w:val="B9DC9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CDA2BA8"/>
    <w:multiLevelType w:val="hybridMultilevel"/>
    <w:tmpl w:val="E9726B16"/>
    <w:lvl w:ilvl="0" w:tplc="4DE0E4AE">
      <w:start w:val="1"/>
      <w:numFmt w:val="bullet"/>
      <w:lvlText w:val="•"/>
      <w:lvlJc w:val="left"/>
      <w:pPr>
        <w:tabs>
          <w:tab w:val="num" w:pos="1582"/>
        </w:tabs>
        <w:ind w:left="1582" w:hanging="360"/>
      </w:pPr>
      <w:rPr>
        <w:rFonts w:ascii="Arial" w:hAnsi="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nsid w:val="711449B5"/>
    <w:multiLevelType w:val="hybridMultilevel"/>
    <w:tmpl w:val="F3861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7BB209C"/>
    <w:multiLevelType w:val="hybridMultilevel"/>
    <w:tmpl w:val="ADAC4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E205441"/>
    <w:multiLevelType w:val="hybridMultilevel"/>
    <w:tmpl w:val="65A83CAC"/>
    <w:lvl w:ilvl="0" w:tplc="72DA84A6">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0"/>
  </w:num>
  <w:num w:numId="4">
    <w:abstractNumId w:val="7"/>
  </w:num>
  <w:num w:numId="5">
    <w:abstractNumId w:val="1"/>
  </w:num>
  <w:num w:numId="6">
    <w:abstractNumId w:val="13"/>
  </w:num>
  <w:num w:numId="7">
    <w:abstractNumId w:val="16"/>
  </w:num>
  <w:num w:numId="8">
    <w:abstractNumId w:val="18"/>
  </w:num>
  <w:num w:numId="9">
    <w:abstractNumId w:val="14"/>
  </w:num>
  <w:num w:numId="10">
    <w:abstractNumId w:val="17"/>
  </w:num>
  <w:num w:numId="11">
    <w:abstractNumId w:val="6"/>
  </w:num>
  <w:num w:numId="12">
    <w:abstractNumId w:val="19"/>
  </w:num>
  <w:num w:numId="13">
    <w:abstractNumId w:val="21"/>
  </w:num>
  <w:num w:numId="14">
    <w:abstractNumId w:val="9"/>
  </w:num>
  <w:num w:numId="15">
    <w:abstractNumId w:val="22"/>
  </w:num>
  <w:num w:numId="16">
    <w:abstractNumId w:val="10"/>
  </w:num>
  <w:num w:numId="17">
    <w:abstractNumId w:val="8"/>
  </w:num>
  <w:num w:numId="18">
    <w:abstractNumId w:val="23"/>
  </w:num>
  <w:num w:numId="19">
    <w:abstractNumId w:val="2"/>
  </w:num>
  <w:num w:numId="20">
    <w:abstractNumId w:val="3"/>
  </w:num>
  <w:num w:numId="21">
    <w:abstractNumId w:val="11"/>
  </w:num>
  <w:num w:numId="22">
    <w:abstractNumId w:val="0"/>
  </w:num>
  <w:num w:numId="23">
    <w:abstractNumId w:val="24"/>
  </w:num>
  <w:num w:numId="24">
    <w:abstractNumId w:val="4"/>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1A5CBD"/>
    <w:rsid w:val="00003A1B"/>
    <w:rsid w:val="0000747F"/>
    <w:rsid w:val="00015213"/>
    <w:rsid w:val="00016756"/>
    <w:rsid w:val="00030FAC"/>
    <w:rsid w:val="000332BB"/>
    <w:rsid w:val="00035865"/>
    <w:rsid w:val="00037AA8"/>
    <w:rsid w:val="0004513A"/>
    <w:rsid w:val="000455D5"/>
    <w:rsid w:val="000533BC"/>
    <w:rsid w:val="000540AE"/>
    <w:rsid w:val="0005624E"/>
    <w:rsid w:val="000644E9"/>
    <w:rsid w:val="00071D51"/>
    <w:rsid w:val="00080504"/>
    <w:rsid w:val="00081C1B"/>
    <w:rsid w:val="00084E6D"/>
    <w:rsid w:val="00090105"/>
    <w:rsid w:val="000971C8"/>
    <w:rsid w:val="000B38A2"/>
    <w:rsid w:val="000B5797"/>
    <w:rsid w:val="000B5AF3"/>
    <w:rsid w:val="000B6D10"/>
    <w:rsid w:val="000C61C3"/>
    <w:rsid w:val="000D273C"/>
    <w:rsid w:val="000D6D0E"/>
    <w:rsid w:val="000E3375"/>
    <w:rsid w:val="000E48F3"/>
    <w:rsid w:val="00110DBF"/>
    <w:rsid w:val="00115265"/>
    <w:rsid w:val="001216B8"/>
    <w:rsid w:val="00152D11"/>
    <w:rsid w:val="0016250D"/>
    <w:rsid w:val="00167F81"/>
    <w:rsid w:val="0017110A"/>
    <w:rsid w:val="001768F5"/>
    <w:rsid w:val="00192BC5"/>
    <w:rsid w:val="001943A5"/>
    <w:rsid w:val="0019558E"/>
    <w:rsid w:val="001975F9"/>
    <w:rsid w:val="001A5CBD"/>
    <w:rsid w:val="001A5DA8"/>
    <w:rsid w:val="001A7A89"/>
    <w:rsid w:val="001C4F90"/>
    <w:rsid w:val="001D405B"/>
    <w:rsid w:val="001D6660"/>
    <w:rsid w:val="00201FDB"/>
    <w:rsid w:val="00206DFF"/>
    <w:rsid w:val="002104EC"/>
    <w:rsid w:val="002170BD"/>
    <w:rsid w:val="0022510B"/>
    <w:rsid w:val="002334E8"/>
    <w:rsid w:val="002344C9"/>
    <w:rsid w:val="00234F9E"/>
    <w:rsid w:val="00250184"/>
    <w:rsid w:val="00253243"/>
    <w:rsid w:val="00257207"/>
    <w:rsid w:val="00276D8E"/>
    <w:rsid w:val="0029423C"/>
    <w:rsid w:val="002B4F4C"/>
    <w:rsid w:val="002E53B0"/>
    <w:rsid w:val="002F375D"/>
    <w:rsid w:val="002F6773"/>
    <w:rsid w:val="00303B32"/>
    <w:rsid w:val="003041C0"/>
    <w:rsid w:val="00311DBD"/>
    <w:rsid w:val="003121D7"/>
    <w:rsid w:val="00314D32"/>
    <w:rsid w:val="0032716E"/>
    <w:rsid w:val="00353F8A"/>
    <w:rsid w:val="00355988"/>
    <w:rsid w:val="00356D7E"/>
    <w:rsid w:val="0036067C"/>
    <w:rsid w:val="00360EB1"/>
    <w:rsid w:val="00361D1C"/>
    <w:rsid w:val="00362168"/>
    <w:rsid w:val="00371309"/>
    <w:rsid w:val="00390ED0"/>
    <w:rsid w:val="0039543C"/>
    <w:rsid w:val="003D2A52"/>
    <w:rsid w:val="003E02CD"/>
    <w:rsid w:val="00400BE9"/>
    <w:rsid w:val="004036BD"/>
    <w:rsid w:val="00404AD7"/>
    <w:rsid w:val="00410EFB"/>
    <w:rsid w:val="004219D7"/>
    <w:rsid w:val="00445109"/>
    <w:rsid w:val="00457A82"/>
    <w:rsid w:val="004623FF"/>
    <w:rsid w:val="00465B45"/>
    <w:rsid w:val="00466D5E"/>
    <w:rsid w:val="00467BC4"/>
    <w:rsid w:val="00470C55"/>
    <w:rsid w:val="004A20B7"/>
    <w:rsid w:val="004A7135"/>
    <w:rsid w:val="004A780D"/>
    <w:rsid w:val="004B474D"/>
    <w:rsid w:val="004B6DE4"/>
    <w:rsid w:val="004C2994"/>
    <w:rsid w:val="004D12EC"/>
    <w:rsid w:val="004D19FB"/>
    <w:rsid w:val="004F2134"/>
    <w:rsid w:val="004F520E"/>
    <w:rsid w:val="004F5F12"/>
    <w:rsid w:val="0050693F"/>
    <w:rsid w:val="005163E5"/>
    <w:rsid w:val="005254F0"/>
    <w:rsid w:val="0052587E"/>
    <w:rsid w:val="00527B18"/>
    <w:rsid w:val="00536EF3"/>
    <w:rsid w:val="00537AD5"/>
    <w:rsid w:val="0054742A"/>
    <w:rsid w:val="00547747"/>
    <w:rsid w:val="00552098"/>
    <w:rsid w:val="00555E3B"/>
    <w:rsid w:val="005643E2"/>
    <w:rsid w:val="00567CDE"/>
    <w:rsid w:val="00571384"/>
    <w:rsid w:val="0057791E"/>
    <w:rsid w:val="0058260D"/>
    <w:rsid w:val="00593D9B"/>
    <w:rsid w:val="005A7B2C"/>
    <w:rsid w:val="005C00A0"/>
    <w:rsid w:val="005C2113"/>
    <w:rsid w:val="005C5B22"/>
    <w:rsid w:val="005D3751"/>
    <w:rsid w:val="005D3997"/>
    <w:rsid w:val="005E0175"/>
    <w:rsid w:val="005E7E54"/>
    <w:rsid w:val="005F1FBA"/>
    <w:rsid w:val="005F46E5"/>
    <w:rsid w:val="005F5EE5"/>
    <w:rsid w:val="005F6D04"/>
    <w:rsid w:val="006026C0"/>
    <w:rsid w:val="0060560F"/>
    <w:rsid w:val="006077F8"/>
    <w:rsid w:val="00616C9A"/>
    <w:rsid w:val="00622B79"/>
    <w:rsid w:val="0062383B"/>
    <w:rsid w:val="00637FE0"/>
    <w:rsid w:val="00653762"/>
    <w:rsid w:val="00657773"/>
    <w:rsid w:val="0068117F"/>
    <w:rsid w:val="00681B5A"/>
    <w:rsid w:val="00692F69"/>
    <w:rsid w:val="006A3E1B"/>
    <w:rsid w:val="006B3032"/>
    <w:rsid w:val="006B5038"/>
    <w:rsid w:val="006C2C69"/>
    <w:rsid w:val="006E63E4"/>
    <w:rsid w:val="006F48E7"/>
    <w:rsid w:val="00723255"/>
    <w:rsid w:val="00724298"/>
    <w:rsid w:val="007423B8"/>
    <w:rsid w:val="00745B09"/>
    <w:rsid w:val="00753D5B"/>
    <w:rsid w:val="0077515C"/>
    <w:rsid w:val="00790E5C"/>
    <w:rsid w:val="00790FC6"/>
    <w:rsid w:val="00791A8F"/>
    <w:rsid w:val="007B422C"/>
    <w:rsid w:val="007D1364"/>
    <w:rsid w:val="007D3942"/>
    <w:rsid w:val="007D3C21"/>
    <w:rsid w:val="007F5C91"/>
    <w:rsid w:val="007F6BAE"/>
    <w:rsid w:val="007F7D34"/>
    <w:rsid w:val="00803140"/>
    <w:rsid w:val="008201A5"/>
    <w:rsid w:val="00832035"/>
    <w:rsid w:val="00833C26"/>
    <w:rsid w:val="008445CF"/>
    <w:rsid w:val="008447F8"/>
    <w:rsid w:val="00856DFD"/>
    <w:rsid w:val="00857F2F"/>
    <w:rsid w:val="00865012"/>
    <w:rsid w:val="008703C9"/>
    <w:rsid w:val="0087220C"/>
    <w:rsid w:val="00875C7E"/>
    <w:rsid w:val="00876DEA"/>
    <w:rsid w:val="00880215"/>
    <w:rsid w:val="00881D04"/>
    <w:rsid w:val="008A3649"/>
    <w:rsid w:val="008B1A0A"/>
    <w:rsid w:val="008D0920"/>
    <w:rsid w:val="008D36C1"/>
    <w:rsid w:val="008D6290"/>
    <w:rsid w:val="008D7DA9"/>
    <w:rsid w:val="008E4DE4"/>
    <w:rsid w:val="00914B6E"/>
    <w:rsid w:val="00923D6B"/>
    <w:rsid w:val="00937657"/>
    <w:rsid w:val="00977024"/>
    <w:rsid w:val="00982290"/>
    <w:rsid w:val="009B179D"/>
    <w:rsid w:val="009B5B9F"/>
    <w:rsid w:val="009C0BA6"/>
    <w:rsid w:val="009C5555"/>
    <w:rsid w:val="009D35E4"/>
    <w:rsid w:val="009D5106"/>
    <w:rsid w:val="009E1633"/>
    <w:rsid w:val="009E3937"/>
    <w:rsid w:val="009E7B48"/>
    <w:rsid w:val="009F09AF"/>
    <w:rsid w:val="009F4084"/>
    <w:rsid w:val="009F4C8A"/>
    <w:rsid w:val="009F5436"/>
    <w:rsid w:val="00A0568A"/>
    <w:rsid w:val="00A150F6"/>
    <w:rsid w:val="00A20722"/>
    <w:rsid w:val="00A20B53"/>
    <w:rsid w:val="00A2553D"/>
    <w:rsid w:val="00A322EA"/>
    <w:rsid w:val="00A3687C"/>
    <w:rsid w:val="00A433C9"/>
    <w:rsid w:val="00A46B7C"/>
    <w:rsid w:val="00A57E8D"/>
    <w:rsid w:val="00A617B2"/>
    <w:rsid w:val="00A6754E"/>
    <w:rsid w:val="00A73B54"/>
    <w:rsid w:val="00A7400E"/>
    <w:rsid w:val="00A77769"/>
    <w:rsid w:val="00A82585"/>
    <w:rsid w:val="00A90D48"/>
    <w:rsid w:val="00AB0A0E"/>
    <w:rsid w:val="00AC60EB"/>
    <w:rsid w:val="00AE161C"/>
    <w:rsid w:val="00AE3DE0"/>
    <w:rsid w:val="00AF3624"/>
    <w:rsid w:val="00AF671D"/>
    <w:rsid w:val="00B0067A"/>
    <w:rsid w:val="00B014AE"/>
    <w:rsid w:val="00B109FA"/>
    <w:rsid w:val="00B22C98"/>
    <w:rsid w:val="00B245B1"/>
    <w:rsid w:val="00B37BDF"/>
    <w:rsid w:val="00B446AC"/>
    <w:rsid w:val="00B46407"/>
    <w:rsid w:val="00B5758B"/>
    <w:rsid w:val="00B62555"/>
    <w:rsid w:val="00B6667A"/>
    <w:rsid w:val="00B961E4"/>
    <w:rsid w:val="00BA6A5F"/>
    <w:rsid w:val="00BB0E59"/>
    <w:rsid w:val="00BC4015"/>
    <w:rsid w:val="00BC53D8"/>
    <w:rsid w:val="00BD30D3"/>
    <w:rsid w:val="00BE5BA9"/>
    <w:rsid w:val="00BF2A7E"/>
    <w:rsid w:val="00C1784B"/>
    <w:rsid w:val="00C31F7C"/>
    <w:rsid w:val="00C33334"/>
    <w:rsid w:val="00C43ABF"/>
    <w:rsid w:val="00C448E4"/>
    <w:rsid w:val="00C453DE"/>
    <w:rsid w:val="00C516FC"/>
    <w:rsid w:val="00C65F32"/>
    <w:rsid w:val="00C671C5"/>
    <w:rsid w:val="00C76A26"/>
    <w:rsid w:val="00CA5602"/>
    <w:rsid w:val="00CA6A66"/>
    <w:rsid w:val="00CB5F6A"/>
    <w:rsid w:val="00CC4D3E"/>
    <w:rsid w:val="00CC5556"/>
    <w:rsid w:val="00CC632C"/>
    <w:rsid w:val="00CC6E3B"/>
    <w:rsid w:val="00CE0FBA"/>
    <w:rsid w:val="00CE26B1"/>
    <w:rsid w:val="00CE7C70"/>
    <w:rsid w:val="00CF57FD"/>
    <w:rsid w:val="00D045F1"/>
    <w:rsid w:val="00D10494"/>
    <w:rsid w:val="00D22856"/>
    <w:rsid w:val="00D22CE5"/>
    <w:rsid w:val="00D363D8"/>
    <w:rsid w:val="00D43ACA"/>
    <w:rsid w:val="00D47606"/>
    <w:rsid w:val="00D53948"/>
    <w:rsid w:val="00D57267"/>
    <w:rsid w:val="00D5770C"/>
    <w:rsid w:val="00D57A94"/>
    <w:rsid w:val="00D87558"/>
    <w:rsid w:val="00D95490"/>
    <w:rsid w:val="00D968DC"/>
    <w:rsid w:val="00DA123C"/>
    <w:rsid w:val="00DA1D52"/>
    <w:rsid w:val="00DA2D7B"/>
    <w:rsid w:val="00DB445C"/>
    <w:rsid w:val="00DC5CB8"/>
    <w:rsid w:val="00DC7444"/>
    <w:rsid w:val="00E033FF"/>
    <w:rsid w:val="00E113FC"/>
    <w:rsid w:val="00E17C0E"/>
    <w:rsid w:val="00E33F25"/>
    <w:rsid w:val="00E34498"/>
    <w:rsid w:val="00E50257"/>
    <w:rsid w:val="00E52696"/>
    <w:rsid w:val="00E75D2C"/>
    <w:rsid w:val="00E7721B"/>
    <w:rsid w:val="00E9012A"/>
    <w:rsid w:val="00EC3706"/>
    <w:rsid w:val="00EE2C31"/>
    <w:rsid w:val="00EE412E"/>
    <w:rsid w:val="00EF10AC"/>
    <w:rsid w:val="00F051ED"/>
    <w:rsid w:val="00F32E5B"/>
    <w:rsid w:val="00F36FF3"/>
    <w:rsid w:val="00F63765"/>
    <w:rsid w:val="00F64D4D"/>
    <w:rsid w:val="00F65B68"/>
    <w:rsid w:val="00F71DE9"/>
    <w:rsid w:val="00F862E8"/>
    <w:rsid w:val="00F86C83"/>
    <w:rsid w:val="00F939AA"/>
    <w:rsid w:val="00F96457"/>
    <w:rsid w:val="00F96611"/>
    <w:rsid w:val="00FB1EA5"/>
    <w:rsid w:val="00FC5CED"/>
    <w:rsid w:val="00FE1782"/>
    <w:rsid w:val="00FE3BC3"/>
    <w:rsid w:val="00FE4184"/>
    <w:rsid w:val="00FE6D0C"/>
    <w:rsid w:val="00FF52B3"/>
    <w:rsid w:val="00FF7C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D97"/>
  </w:style>
  <w:style w:type="paragraph" w:styleId="Titolo1">
    <w:name w:val="heading 1"/>
    <w:basedOn w:val="Normale"/>
    <w:next w:val="Normale"/>
    <w:qFormat/>
    <w:rsid w:val="001A5CBD"/>
    <w:pPr>
      <w:keepNext/>
      <w:spacing w:before="240" w:after="60"/>
      <w:outlineLvl w:val="0"/>
    </w:pPr>
    <w:rPr>
      <w:rFonts w:ascii="Arial" w:hAnsi="Arial"/>
      <w:b/>
      <w:kern w:val="28"/>
      <w:sz w:val="28"/>
    </w:rPr>
  </w:style>
  <w:style w:type="paragraph" w:styleId="Titolo2">
    <w:name w:val="heading 2"/>
    <w:basedOn w:val="Normale"/>
    <w:next w:val="Normale"/>
    <w:qFormat/>
    <w:rsid w:val="001A5CBD"/>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1A5CBD"/>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1A5CBD"/>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1A5CBD"/>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1A5CBD"/>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1A5CBD"/>
    <w:pPr>
      <w:keepNext/>
      <w:ind w:right="1133"/>
      <w:jc w:val="center"/>
      <w:outlineLvl w:val="6"/>
    </w:pPr>
    <w:rPr>
      <w:b/>
      <w:sz w:val="24"/>
    </w:rPr>
  </w:style>
  <w:style w:type="paragraph" w:styleId="Titolo8">
    <w:name w:val="heading 8"/>
    <w:basedOn w:val="Normale"/>
    <w:next w:val="Normale"/>
    <w:qFormat/>
    <w:rsid w:val="001A5CBD"/>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1A5CBD"/>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A5CBD"/>
  </w:style>
  <w:style w:type="table" w:customStyle="1" w:styleId="TableNormal">
    <w:name w:val="Table Normal"/>
    <w:rsid w:val="001A5CBD"/>
    <w:tblPr>
      <w:tblCellMar>
        <w:top w:w="0" w:type="dxa"/>
        <w:left w:w="0" w:type="dxa"/>
        <w:bottom w:w="0" w:type="dxa"/>
        <w:right w:w="0" w:type="dxa"/>
      </w:tblCellMar>
    </w:tblPr>
  </w:style>
  <w:style w:type="paragraph" w:styleId="Titolo">
    <w:name w:val="Title"/>
    <w:basedOn w:val="Normale"/>
    <w:qFormat/>
    <w:rsid w:val="008F7B5F"/>
    <w:pPr>
      <w:jc w:val="center"/>
    </w:pPr>
    <w:rPr>
      <w:b/>
      <w:bCs/>
      <w:sz w:val="24"/>
      <w:szCs w:val="24"/>
    </w:rPr>
  </w:style>
  <w:style w:type="paragraph" w:styleId="Pidipagina">
    <w:name w:val="footer"/>
    <w:basedOn w:val="Normale"/>
    <w:rsid w:val="001A5CBD"/>
    <w:pPr>
      <w:tabs>
        <w:tab w:val="center" w:pos="4819"/>
        <w:tab w:val="right" w:pos="9638"/>
      </w:tabs>
    </w:pPr>
  </w:style>
  <w:style w:type="character" w:styleId="Numeropagina">
    <w:name w:val="page number"/>
    <w:basedOn w:val="Carpredefinitoparagrafo"/>
    <w:rsid w:val="001A5CBD"/>
  </w:style>
  <w:style w:type="character" w:styleId="Collegamentoipertestuale">
    <w:name w:val="Hyperlink"/>
    <w:rsid w:val="001A5CBD"/>
    <w:rPr>
      <w:color w:val="0000FF"/>
      <w:u w:val="single"/>
    </w:rPr>
  </w:style>
  <w:style w:type="paragraph" w:customStyle="1" w:styleId="Corpodeltesto1">
    <w:name w:val="Corpo del testo1"/>
    <w:basedOn w:val="Normale"/>
    <w:rsid w:val="001A5CBD"/>
    <w:pPr>
      <w:ind w:right="1133"/>
      <w:jc w:val="both"/>
    </w:pPr>
    <w:rPr>
      <w:sz w:val="22"/>
    </w:rPr>
  </w:style>
  <w:style w:type="paragraph" w:styleId="Testonotaapidipagina">
    <w:name w:val="footnote text"/>
    <w:basedOn w:val="Normale"/>
    <w:semiHidden/>
    <w:rsid w:val="001A5CBD"/>
  </w:style>
  <w:style w:type="character" w:styleId="Rimandonotaapidipagina">
    <w:name w:val="footnote reference"/>
    <w:semiHidden/>
    <w:rsid w:val="001A5CBD"/>
    <w:rPr>
      <w:vertAlign w:val="superscript"/>
    </w:rPr>
  </w:style>
  <w:style w:type="paragraph" w:styleId="Intestazione">
    <w:name w:val="header"/>
    <w:basedOn w:val="Normale"/>
    <w:rsid w:val="001A5CBD"/>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0">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Sottotitolo">
    <w:name w:val="Subtitle"/>
    <w:basedOn w:val="Normale1"/>
    <w:next w:val="Normale1"/>
    <w:rsid w:val="001A5CBD"/>
    <w:pPr>
      <w:keepNext/>
      <w:keepLines/>
      <w:spacing w:before="360" w:after="80"/>
    </w:pPr>
    <w:rPr>
      <w:rFonts w:ascii="Georgia" w:eastAsia="Georgia" w:hAnsi="Georgia" w:cs="Georgia"/>
      <w:i/>
      <w:color w:val="666666"/>
      <w:sz w:val="48"/>
      <w:szCs w:val="48"/>
    </w:rPr>
  </w:style>
  <w:style w:type="table" w:customStyle="1" w:styleId="a">
    <w:basedOn w:val="TableNormal0"/>
    <w:rsid w:val="001A5CBD"/>
    <w:tblPr>
      <w:tblStyleRowBandSize w:val="1"/>
      <w:tblStyleColBandSize w:val="1"/>
      <w:tblCellMar>
        <w:top w:w="0" w:type="dxa"/>
        <w:left w:w="115" w:type="dxa"/>
        <w:bottom w:w="0" w:type="dxa"/>
        <w:right w:w="115" w:type="dxa"/>
      </w:tblCellMar>
    </w:tblPr>
    <w:tcPr>
      <w:shd w:val="clear" w:color="auto" w:fill="auto"/>
    </w:tcPr>
  </w:style>
  <w:style w:type="table" w:customStyle="1" w:styleId="a0">
    <w:basedOn w:val="TableNormal0"/>
    <w:rsid w:val="001A5CBD"/>
    <w:tblPr>
      <w:tblStyleRowBandSize w:val="1"/>
      <w:tblStyleColBandSize w:val="1"/>
      <w:tblCellMar>
        <w:top w:w="0" w:type="dxa"/>
        <w:left w:w="70" w:type="dxa"/>
        <w:bottom w:w="0" w:type="dxa"/>
        <w:right w:w="70" w:type="dxa"/>
      </w:tblCellMar>
    </w:tblPr>
  </w:style>
  <w:style w:type="table" w:customStyle="1" w:styleId="a1">
    <w:basedOn w:val="TableNormal0"/>
    <w:rsid w:val="001A5CBD"/>
    <w:tblPr>
      <w:tblStyleRowBandSize w:val="1"/>
      <w:tblStyleColBandSize w:val="1"/>
      <w:tblCellMar>
        <w:top w:w="0" w:type="dxa"/>
        <w:left w:w="115" w:type="dxa"/>
        <w:bottom w:w="0" w:type="dxa"/>
        <w:right w:w="115" w:type="dxa"/>
      </w:tblCellMar>
    </w:tblPr>
  </w:style>
  <w:style w:type="paragraph" w:customStyle="1" w:styleId="Titolo11">
    <w:name w:val="Titolo 11"/>
    <w:basedOn w:val="Normale"/>
    <w:uiPriority w:val="1"/>
    <w:qFormat/>
    <w:rsid w:val="0005624E"/>
    <w:pPr>
      <w:widowControl w:val="0"/>
      <w:autoSpaceDE w:val="0"/>
      <w:autoSpaceDN w:val="0"/>
      <w:ind w:left="344" w:hanging="245"/>
      <w:outlineLvl w:val="1"/>
    </w:pPr>
    <w:rPr>
      <w:rFonts w:ascii="Arial" w:eastAsia="Arial" w:hAnsi="Arial" w:cs="Arial"/>
      <w:b/>
      <w:bCs/>
      <w:sz w:val="22"/>
      <w:szCs w:val="22"/>
      <w:lang w:eastAsia="en-US"/>
    </w:rPr>
  </w:style>
  <w:style w:type="character" w:customStyle="1" w:styleId="UnresolvedMention">
    <w:name w:val="Unresolved Mention"/>
    <w:basedOn w:val="Carpredefinitoparagrafo"/>
    <w:uiPriority w:val="99"/>
    <w:semiHidden/>
    <w:unhideWhenUsed/>
    <w:rsid w:val="00B22C9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3067170">
      <w:bodyDiv w:val="1"/>
      <w:marLeft w:val="0"/>
      <w:marRight w:val="0"/>
      <w:marTop w:val="0"/>
      <w:marBottom w:val="0"/>
      <w:divBdr>
        <w:top w:val="none" w:sz="0" w:space="0" w:color="auto"/>
        <w:left w:val="none" w:sz="0" w:space="0" w:color="auto"/>
        <w:bottom w:val="none" w:sz="0" w:space="0" w:color="auto"/>
        <w:right w:val="none" w:sz="0" w:space="0" w:color="auto"/>
      </w:divBdr>
      <w:divsChild>
        <w:div w:id="16211047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flRN2flJ27Lp4ei2a83XTrz4eA==">AMUW2mXN6srQUT3TH/v4bp/as3DNqOoVU384V5vOk0HEWgE11XwNHQvwAumZFCG6+BXjl0V/6A+hsVdN+u4mA3rvhjQ4oiixNH1pd1zgTgGXN8PxtpLocwg787paEJWjEv5yf5YWZU5J</go:docsCustomData>
</go:gDocsCustomXmlDataStorage>
</file>

<file path=customXml/itemProps1.xml><?xml version="1.0" encoding="utf-8"?>
<ds:datastoreItem xmlns:ds="http://schemas.openxmlformats.org/officeDocument/2006/customXml" ds:itemID="{34545920-E64E-4947-AEDD-45033FEFA4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1508</Words>
  <Characters>8599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Collab Presidenza</cp:lastModifiedBy>
  <cp:revision>12</cp:revision>
  <dcterms:created xsi:type="dcterms:W3CDTF">2024-11-13T14:10:00Z</dcterms:created>
  <dcterms:modified xsi:type="dcterms:W3CDTF">2024-11-19T09:42:00Z</dcterms:modified>
</cp:coreProperties>
</file>