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01600" distT="0" distL="0" distR="0">
            <wp:extent cx="5730875" cy="1714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171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PROT. 2430VII.8.2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CORSI DI RECUPERO PER LE INSUFFICIENZE DEL PRIMO QUADRIMESTRE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FIRME GENITORI PER PRESA VISIONE/ACCETTAZIONE</w:t>
      </w:r>
    </w:p>
    <w:tbl>
      <w:tblPr>
        <w:tblStyle w:val="Table1"/>
        <w:tblW w:w="9879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93"/>
        <w:gridCol w:w="3293"/>
        <w:gridCol w:w="3293"/>
        <w:tblGridChange w:id="0">
          <w:tblGrid>
            <w:gridCol w:w="3293"/>
            <w:gridCol w:w="3293"/>
            <w:gridCol w:w="3293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STUDENTE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GENITORE/I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GENITORE/I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>
        <w:color w:val="cccccc"/>
      </w:rPr>
    </w:pPr>
    <w:hyperlink r:id="rId1">
      <w:r w:rsidDel="00000000" w:rsidR="00000000" w:rsidRPr="00000000">
        <w:rPr>
          <w:color w:val="cccccc"/>
          <w:rtl w:val="0"/>
        </w:rPr>
        <w:t xml:space="preserve">Edita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docs.google.com/document/d/1M0RrQ9BT1w7E_QxuE0fkV-Os95WdRHvrtLKKNXvX9Pc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